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footer1.xml.rels" ContentType="application/vnd.openxmlformats-package.relationships+xml"/>
  <Override PartName="/word/_rels/document.xml.rels" ContentType="application/vnd.openxmlformats-package.relationships+xml"/>
  <Override PartName="/word/_rels/header1.xml.rels" ContentType="application/vnd.openxmlformats-package.relationship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header1.xml" ContentType="application/vnd.openxmlformats-officedocument.wordprocessingml.header+xml"/>
  <Override PartName="/word/theme/theme1.xml" ContentType="application/vnd.openxmlformats-officedocument.theme+xml"/>
  <Override PartName="/word/media/image1.png" ContentType="image/png"/>
  <Override PartName="/word/media/image2.png" ContentType="image/png"/>
  <Override PartName="/word/fontTable.xml" ContentType="application/vnd.openxmlformats-officedocument.wordprocessingml.fontTable+xml"/>
  <Override PartName="/word/settings.xml" ContentType="application/vnd.openxmlformats-officedocument.wordprocessingml.settings+xml"/>
  <Override PartName="/customXml/item1.xml" ContentType="application/xml"/>
  <Override PartName="/customXml/itemProps1.xml" ContentType="application/vnd.openxmlformats-officedocument.customXmlProperties+xml"/>
  <Override PartName="/customXml/_rels/item1.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ackground w:color="FFFFFF"/>
  <w:body>
    <w:p>
      <w:pPr>
        <w:pStyle w:val="Normal"/>
        <w:jc w:val="center"/>
        <w:rPr>
          <w:rFonts w:ascii="Arial" w:hAnsi="Arial" w:eastAsia="Arial" w:cs="Arial"/>
          <w:i/>
          <w:i/>
          <w:color w:val="000000"/>
          <w:sz w:val="22"/>
          <w:szCs w:val="22"/>
        </w:rPr>
      </w:pPr>
      <w:r>
        <w:rPr>
          <w:rFonts w:eastAsia="Arial" w:cs="Arial" w:ascii="Arial" w:hAnsi="Arial"/>
          <w:i/>
          <w:color w:val="000000"/>
          <w:sz w:val="22"/>
          <w:szCs w:val="22"/>
        </w:rPr>
        <w:t>“</w:t>
      </w:r>
      <w:r>
        <w:rPr>
          <w:rFonts w:eastAsia="Arial" w:cs="Arial" w:ascii="Arial" w:hAnsi="Arial"/>
          <w:i/>
          <w:color w:val="000000"/>
          <w:sz w:val="22"/>
          <w:szCs w:val="22"/>
        </w:rPr>
        <w:t>Por medio del cual se reglamenta el proceso de elección atípica de los/as Consejeros/as de Arte, Cultura y Patrimonio del Distrito Capital para el período 2023 - 2027, de conformidad con lo dispuesto en los artículos 9 y 62 del Decreto Distrital 480 de 2018.”</w:t>
      </w:r>
    </w:p>
    <w:p>
      <w:pPr>
        <w:pStyle w:val="Normal"/>
        <w:pBdr/>
        <w:jc w:val="center"/>
        <w:rPr>
          <w:rFonts w:ascii="Arial" w:hAnsi="Arial" w:eastAsia="Arial" w:cs="Arial"/>
          <w:i/>
          <w:i/>
          <w:color w:val="000000"/>
          <w:sz w:val="22"/>
          <w:szCs w:val="22"/>
        </w:rPr>
      </w:pPr>
      <w:r>
        <w:rPr>
          <w:rFonts w:eastAsia="Arial" w:cs="Arial" w:ascii="Arial" w:hAnsi="Arial"/>
          <w:i/>
          <w:color w:val="000000"/>
          <w:sz w:val="22"/>
          <w:szCs w:val="22"/>
        </w:rPr>
      </w:r>
    </w:p>
    <w:p>
      <w:pPr>
        <w:pStyle w:val="Normal"/>
        <w:pBdr/>
        <w:jc w:val="center"/>
        <w:rPr>
          <w:rFonts w:ascii="Arial" w:hAnsi="Arial" w:eastAsia="Arial" w:cs="Arial"/>
          <w:b/>
          <w:b/>
          <w:color w:val="000000"/>
          <w:sz w:val="22"/>
          <w:szCs w:val="22"/>
        </w:rPr>
      </w:pPr>
      <w:r>
        <w:rPr>
          <w:rFonts w:eastAsia="Arial" w:cs="Arial" w:ascii="Arial" w:hAnsi="Arial"/>
          <w:b/>
          <w:color w:val="000000"/>
          <w:sz w:val="22"/>
          <w:szCs w:val="22"/>
        </w:rPr>
      </w:r>
    </w:p>
    <w:p>
      <w:pPr>
        <w:pStyle w:val="Normal"/>
        <w:pBdr/>
        <w:jc w:val="center"/>
        <w:rPr>
          <w:rFonts w:ascii="Arial" w:hAnsi="Arial" w:cs="Arial"/>
          <w:sz w:val="22"/>
          <w:szCs w:val="22"/>
        </w:rPr>
      </w:pPr>
      <w:r>
        <w:rPr>
          <w:rFonts w:eastAsia="Arial" w:cs="Arial" w:ascii="Arial" w:hAnsi="Arial"/>
          <w:b/>
          <w:color w:val="000000"/>
          <w:sz w:val="22"/>
          <w:szCs w:val="22"/>
        </w:rPr>
        <w:t>LA SECRETARIA DE DESPACHO</w:t>
      </w:r>
    </w:p>
    <w:p>
      <w:pPr>
        <w:pStyle w:val="Normal"/>
        <w:rPr>
          <w:rFonts w:ascii="Arial" w:hAnsi="Arial" w:cs="Arial"/>
          <w:sz w:val="22"/>
          <w:szCs w:val="22"/>
        </w:rPr>
      </w:pPr>
      <w:r>
        <w:rPr>
          <w:rFonts w:cs="Arial" w:ascii="Arial" w:hAnsi="Arial"/>
          <w:sz w:val="22"/>
          <w:szCs w:val="22"/>
        </w:rPr>
      </w:r>
    </w:p>
    <w:p>
      <w:pPr>
        <w:pStyle w:val="Normal"/>
        <w:pBdr/>
        <w:jc w:val="center"/>
        <w:rPr>
          <w:rFonts w:ascii="Arial" w:hAnsi="Arial" w:eastAsia="Arial" w:cs="Arial"/>
          <w:color w:val="000000"/>
          <w:sz w:val="22"/>
          <w:szCs w:val="22"/>
        </w:rPr>
      </w:pPr>
      <w:r>
        <w:rPr>
          <w:rFonts w:eastAsia="Arial" w:cs="Arial" w:ascii="Arial" w:hAnsi="Arial"/>
          <w:color w:val="000000"/>
          <w:sz w:val="22"/>
          <w:szCs w:val="22"/>
        </w:rPr>
      </w:r>
    </w:p>
    <w:p>
      <w:pPr>
        <w:pStyle w:val="Normal"/>
        <w:pBdr/>
        <w:jc w:val="center"/>
        <w:rPr>
          <w:rFonts w:ascii="Arial" w:hAnsi="Arial" w:cs="Arial"/>
          <w:sz w:val="22"/>
          <w:szCs w:val="22"/>
        </w:rPr>
      </w:pPr>
      <w:r>
        <w:rPr>
          <w:rFonts w:eastAsia="Arial" w:cs="Arial" w:ascii="Arial" w:hAnsi="Arial"/>
          <w:color w:val="000000"/>
          <w:sz w:val="22"/>
          <w:szCs w:val="22"/>
        </w:rPr>
        <w:t>De la Secretaría Distrital de Cultura, Recreación y Deporte, en uso de sus facultades legales y en especial las conferidas por los Decretos Distritales 627 de 2007, 480 de 2018 336 de 2022 y el Decreto Distrital 340 de 2020 modificado por el Decreto 400 de 2022 y</w:t>
      </w:r>
    </w:p>
    <w:p>
      <w:pPr>
        <w:pStyle w:val="Normal"/>
        <w:rPr>
          <w:rFonts w:ascii="Arial" w:hAnsi="Arial" w:cs="Arial"/>
          <w:sz w:val="22"/>
          <w:szCs w:val="22"/>
        </w:rPr>
      </w:pPr>
      <w:r>
        <w:rPr>
          <w:rFonts w:cs="Arial" w:ascii="Arial" w:hAnsi="Arial"/>
          <w:sz w:val="22"/>
          <w:szCs w:val="22"/>
        </w:rPr>
      </w:r>
    </w:p>
    <w:p>
      <w:pPr>
        <w:pStyle w:val="Normal"/>
        <w:pBdr/>
        <w:jc w:val="center"/>
        <w:rPr>
          <w:rFonts w:ascii="Arial" w:hAnsi="Arial" w:eastAsia="Arial" w:cs="Arial"/>
          <w:b/>
          <w:b/>
          <w:color w:val="000000"/>
          <w:sz w:val="22"/>
          <w:szCs w:val="22"/>
        </w:rPr>
      </w:pPr>
      <w:r>
        <w:rPr>
          <w:rFonts w:eastAsia="Arial" w:cs="Arial" w:ascii="Arial" w:hAnsi="Arial"/>
          <w:b/>
          <w:color w:val="000000"/>
          <w:sz w:val="22"/>
          <w:szCs w:val="22"/>
        </w:rPr>
      </w:r>
    </w:p>
    <w:p>
      <w:pPr>
        <w:pStyle w:val="Normal"/>
        <w:pBdr/>
        <w:jc w:val="center"/>
        <w:rPr>
          <w:rFonts w:ascii="Arial" w:hAnsi="Arial" w:cs="Arial"/>
          <w:sz w:val="22"/>
          <w:szCs w:val="22"/>
        </w:rPr>
      </w:pPr>
      <w:r>
        <w:rPr>
          <w:rFonts w:eastAsia="Arial" w:cs="Arial" w:ascii="Arial" w:hAnsi="Arial"/>
          <w:b/>
          <w:color w:val="000000"/>
          <w:sz w:val="22"/>
          <w:szCs w:val="22"/>
        </w:rPr>
        <w:t>CONSIDERANDO:</w:t>
      </w:r>
    </w:p>
    <w:p>
      <w:pPr>
        <w:pStyle w:val="Normal"/>
        <w:rPr>
          <w:rFonts w:ascii="Arial" w:hAnsi="Arial" w:cs="Arial"/>
          <w:sz w:val="22"/>
          <w:szCs w:val="22"/>
        </w:rPr>
      </w:pPr>
      <w:r>
        <w:rPr>
          <w:rFonts w:cs="Arial" w:ascii="Arial" w:hAnsi="Arial"/>
          <w:sz w:val="22"/>
          <w:szCs w:val="22"/>
        </w:rPr>
      </w:r>
    </w:p>
    <w:p>
      <w:pPr>
        <w:pStyle w:val="Normal"/>
        <w:pBdr/>
        <w:jc w:val="both"/>
        <w:rPr>
          <w:rFonts w:ascii="Arial" w:hAnsi="Arial" w:eastAsia="Arial" w:cs="Arial"/>
          <w:color w:val="000000"/>
          <w:sz w:val="22"/>
          <w:szCs w:val="22"/>
        </w:rPr>
      </w:pPr>
      <w:r>
        <w:rPr>
          <w:rFonts w:eastAsia="Arial" w:cs="Arial" w:ascii="Arial" w:hAnsi="Arial"/>
          <w:color w:val="000000"/>
          <w:sz w:val="22"/>
          <w:szCs w:val="22"/>
        </w:rPr>
      </w:r>
    </w:p>
    <w:p>
      <w:pPr>
        <w:pStyle w:val="Normal"/>
        <w:pBdr/>
        <w:jc w:val="both"/>
        <w:rPr>
          <w:rFonts w:ascii="Arial" w:hAnsi="Arial" w:cs="Arial"/>
          <w:sz w:val="22"/>
          <w:szCs w:val="22"/>
        </w:rPr>
      </w:pPr>
      <w:r>
        <w:rPr>
          <w:rFonts w:eastAsia="Arial" w:cs="Arial" w:ascii="Arial" w:hAnsi="Arial"/>
          <w:color w:val="000000"/>
          <w:sz w:val="22"/>
          <w:szCs w:val="22"/>
        </w:rPr>
        <w:t xml:space="preserve">Que el artículo 3 del Decreto Distrital 627 de 2007 </w:t>
      </w:r>
      <w:r>
        <w:rPr>
          <w:rFonts w:eastAsia="Arial" w:cs="Arial" w:ascii="Arial" w:hAnsi="Arial"/>
          <w:i/>
          <w:color w:val="000000"/>
          <w:sz w:val="22"/>
          <w:szCs w:val="22"/>
        </w:rPr>
        <w:t xml:space="preserve">“Por el cual se reforma el Sistema Distrital de Cultura y se establece el Sistema Distrital de Arte, Cultura y Patrimonio” </w:t>
      </w:r>
      <w:r>
        <w:rPr>
          <w:rFonts w:eastAsia="Arial" w:cs="Arial" w:ascii="Arial" w:hAnsi="Arial"/>
          <w:color w:val="000000"/>
          <w:sz w:val="22"/>
          <w:szCs w:val="22"/>
        </w:rPr>
        <w:t xml:space="preserve">señala que el Sistema Distrital de Arte, Cultura y Patrimonio </w:t>
      </w:r>
      <w:r>
        <w:rPr>
          <w:rFonts w:eastAsia="Arial" w:cs="Arial" w:ascii="Arial" w:hAnsi="Arial"/>
          <w:i/>
          <w:color w:val="000000"/>
          <w:sz w:val="22"/>
          <w:szCs w:val="22"/>
        </w:rPr>
        <w:t>"busca aportar al desarrollo humano sostenible de la ciudad mediante la generación y mantenimiento de las condiciones para el ejercicio pleno de los derechos culturales de sus habitantes dentro de un espacio social y político de interculturalidad y de construcción cultural del territorio".</w:t>
      </w:r>
    </w:p>
    <w:p>
      <w:pPr>
        <w:pStyle w:val="Normal"/>
        <w:rPr>
          <w:rFonts w:ascii="Arial" w:hAnsi="Arial" w:cs="Arial"/>
          <w:sz w:val="22"/>
          <w:szCs w:val="22"/>
        </w:rPr>
      </w:pPr>
      <w:r>
        <w:rPr>
          <w:rFonts w:cs="Arial" w:ascii="Arial" w:hAnsi="Arial"/>
          <w:sz w:val="22"/>
          <w:szCs w:val="22"/>
        </w:rPr>
      </w:r>
    </w:p>
    <w:p>
      <w:pPr>
        <w:pStyle w:val="Normal"/>
        <w:pBdr/>
        <w:jc w:val="both"/>
        <w:rPr>
          <w:rFonts w:ascii="Arial" w:hAnsi="Arial" w:eastAsia="Arial" w:cs="Arial"/>
          <w:i/>
          <w:i/>
          <w:color w:val="000000"/>
          <w:sz w:val="22"/>
          <w:szCs w:val="22"/>
        </w:rPr>
      </w:pPr>
      <w:r>
        <w:rPr>
          <w:rFonts w:eastAsia="Arial" w:cs="Arial" w:ascii="Arial" w:hAnsi="Arial"/>
          <w:color w:val="000000"/>
          <w:sz w:val="22"/>
          <w:szCs w:val="22"/>
        </w:rPr>
        <w:t xml:space="preserve">Que el artículo 5 del Decreto Distrital 480 de 2018 </w:t>
      </w:r>
      <w:r>
        <w:rPr>
          <w:rFonts w:eastAsia="Arial" w:cs="Arial" w:ascii="Arial" w:hAnsi="Arial"/>
          <w:i/>
          <w:color w:val="000000"/>
          <w:sz w:val="22"/>
          <w:szCs w:val="22"/>
        </w:rPr>
        <w:t xml:space="preserve">"Por medio del cual se modifica, adiciona y reglamenta el Decreto Distrital 627 de 2007” </w:t>
      </w:r>
      <w:r>
        <w:rPr>
          <w:rFonts w:eastAsia="Arial" w:cs="Arial" w:ascii="Arial" w:hAnsi="Arial"/>
          <w:color w:val="000000"/>
          <w:sz w:val="22"/>
          <w:szCs w:val="22"/>
        </w:rPr>
        <w:t>establece que la Secretaría Distrital de Cultura, Recreación y Deporte, con el respaldo de sus entidades adscritas y la vinculada, será la encargada de adelantar el proceso de elección de los integrantes que harán parte del: i) Consejo Distrital de Artes, ii) Consejos Locales de Arte, Cultura y Patrimonio, iii) Consejos Distritales de Cultura Poblacional y iv) Consejo Distrital de Infraestructura Cultural. Igualmente, es la encargada del proceso de conformación de las Mesas de Agenda Coyuntural, Temáticas o Estratégicas y del Consejo Distrital de Arte, Cultura y Patrimonio</w:t>
      </w:r>
      <w:r>
        <w:rPr>
          <w:rFonts w:eastAsia="Arial" w:cs="Arial" w:ascii="Arial" w:hAnsi="Arial"/>
          <w:i/>
          <w:color w:val="000000"/>
          <w:sz w:val="22"/>
          <w:szCs w:val="22"/>
        </w:rPr>
        <w:t xml:space="preserve">. </w:t>
      </w:r>
      <w:r>
        <w:rPr>
          <w:rFonts w:eastAsia="Arial" w:cs="Arial" w:ascii="Arial" w:hAnsi="Arial"/>
          <w:color w:val="000000"/>
          <w:sz w:val="22"/>
          <w:szCs w:val="22"/>
        </w:rPr>
        <w:t>La elección de los Consejos Locales de Arte, Cultura y Patrimonio se hará en coordinación con las Alcaldías Locales de Bogotá Distrito Capital.</w:t>
      </w:r>
      <w:r>
        <w:rPr>
          <w:rFonts w:eastAsia="Arial" w:cs="Arial" w:ascii="Arial" w:hAnsi="Arial"/>
          <w:i/>
          <w:color w:val="000000"/>
          <w:sz w:val="22"/>
          <w:szCs w:val="22"/>
        </w:rPr>
        <w:t> </w:t>
      </w:r>
    </w:p>
    <w:p>
      <w:pPr>
        <w:pStyle w:val="Normal"/>
        <w:pBdr/>
        <w:jc w:val="both"/>
        <w:rPr>
          <w:rFonts w:ascii="Arial" w:hAnsi="Arial" w:eastAsia="Arial" w:cs="Arial"/>
          <w:i/>
          <w:i/>
          <w:color w:val="000000"/>
          <w:sz w:val="22"/>
          <w:szCs w:val="22"/>
        </w:rPr>
      </w:pPr>
      <w:r>
        <w:rPr>
          <w:rFonts w:eastAsia="Arial" w:cs="Arial" w:ascii="Arial" w:hAnsi="Arial"/>
          <w:i/>
          <w:color w:val="000000"/>
          <w:sz w:val="22"/>
          <w:szCs w:val="22"/>
        </w:rPr>
      </w:r>
    </w:p>
    <w:p>
      <w:pPr>
        <w:pStyle w:val="Normal"/>
        <w:jc w:val="both"/>
        <w:rPr>
          <w:rFonts w:ascii="Arial" w:hAnsi="Arial" w:eastAsia="Arial" w:cs="Arial"/>
          <w:color w:val="000000"/>
          <w:sz w:val="22"/>
          <w:szCs w:val="22"/>
        </w:rPr>
      </w:pPr>
      <w:r>
        <w:rPr>
          <w:rFonts w:eastAsia="Arial" w:cs="Arial" w:ascii="Arial" w:hAnsi="Arial"/>
          <w:color w:val="000000"/>
          <w:sz w:val="22"/>
          <w:szCs w:val="22"/>
        </w:rPr>
        <w:t>Que el artículo 12 ibidem, modificado por el artículo 1 del Decreto Distrital 336 de 2022, establece que el proceso de elección de los consejeros del Sistema, estará a cargo de la Secretaría Distrital de Cultura, Recreación y Deporte y sus entidades adscritas y vinculadas, en coordinación con las Alcaldías Locales.</w:t>
      </w:r>
    </w:p>
    <w:p>
      <w:pPr>
        <w:pStyle w:val="Normal"/>
        <w:jc w:val="both"/>
        <w:rPr>
          <w:rFonts w:ascii="Arial" w:hAnsi="Arial" w:eastAsia="Arial" w:cs="Arial"/>
          <w:color w:val="000000"/>
          <w:sz w:val="22"/>
          <w:szCs w:val="22"/>
        </w:rPr>
      </w:pPr>
      <w:r>
        <w:rPr>
          <w:rFonts w:eastAsia="Arial" w:cs="Arial" w:ascii="Arial" w:hAnsi="Arial"/>
          <w:color w:val="000000"/>
          <w:sz w:val="22"/>
          <w:szCs w:val="22"/>
        </w:rPr>
        <w:t xml:space="preserve"> </w:t>
      </w:r>
    </w:p>
    <w:p>
      <w:pPr>
        <w:pStyle w:val="Normal"/>
        <w:widowControl/>
        <w:jc w:val="both"/>
        <w:rPr>
          <w:rFonts w:ascii="Arial" w:hAnsi="Arial" w:cs="Arial"/>
          <w:color w:val="000000"/>
          <w:sz w:val="22"/>
          <w:szCs w:val="22"/>
        </w:rPr>
      </w:pPr>
      <w:r>
        <w:rPr>
          <w:rFonts w:eastAsia="Arial" w:cs="Arial" w:ascii="Arial" w:hAnsi="Arial"/>
          <w:color w:val="000000"/>
          <w:sz w:val="22"/>
          <w:szCs w:val="22"/>
        </w:rPr>
        <w:t xml:space="preserve">Que el artículo 62 del Decreto Distrital 480 de 2018, modificado por el artículo 16 del Decreto Distrital 336 de 2022, establece que: </w:t>
      </w:r>
      <w:r>
        <w:rPr>
          <w:rFonts w:eastAsia="Arial" w:cs="Arial" w:ascii="Arial" w:hAnsi="Arial"/>
          <w:i/>
          <w:color w:val="000000"/>
          <w:sz w:val="22"/>
          <w:szCs w:val="22"/>
        </w:rPr>
        <w:t>“El período de los representantes elegidos a los Consejos del Sistema Distrital de Arte, Cultura y Patrimonio será de cuatro (4) años contados a partir de su instalación.</w:t>
      </w:r>
      <w:r>
        <w:rPr>
          <w:rFonts w:eastAsia="Arial" w:cs="Arial" w:ascii="Arial" w:hAnsi="Arial"/>
          <w:color w:val="000000"/>
          <w:sz w:val="22"/>
          <w:szCs w:val="22"/>
        </w:rPr>
        <w:t>”</w:t>
      </w:r>
    </w:p>
    <w:p>
      <w:pPr>
        <w:pStyle w:val="Normal"/>
        <w:widowControl/>
        <w:rPr>
          <w:rFonts w:ascii="Arial" w:hAnsi="Arial" w:cs="Arial"/>
          <w:color w:val="000000"/>
          <w:sz w:val="22"/>
          <w:szCs w:val="22"/>
        </w:rPr>
      </w:pPr>
      <w:r>
        <w:rPr>
          <w:rFonts w:cs="Arial" w:ascii="Arial" w:hAnsi="Arial"/>
          <w:color w:val="000000"/>
          <w:sz w:val="22"/>
          <w:szCs w:val="22"/>
        </w:rPr>
      </w:r>
    </w:p>
    <w:p>
      <w:pPr>
        <w:pStyle w:val="Normal"/>
        <w:widowControl/>
        <w:jc w:val="both"/>
        <w:rPr>
          <w:rFonts w:ascii="Arial" w:hAnsi="Arial" w:eastAsia="Arial" w:cs="Arial"/>
          <w:color w:val="000000"/>
          <w:sz w:val="22"/>
          <w:szCs w:val="22"/>
        </w:rPr>
      </w:pPr>
      <w:r>
        <w:rPr>
          <w:rFonts w:eastAsia="Arial" w:cs="Arial" w:ascii="Arial" w:hAnsi="Arial"/>
          <w:color w:val="000000"/>
          <w:sz w:val="22"/>
          <w:szCs w:val="22"/>
        </w:rPr>
        <w:t>Que el Decreto Distrital 340 de 2020, “</w:t>
      </w:r>
      <w:r>
        <w:rPr>
          <w:rFonts w:eastAsia="Arial" w:cs="Arial" w:ascii="Arial" w:hAnsi="Arial"/>
          <w:i/>
          <w:color w:val="000000"/>
          <w:sz w:val="22"/>
          <w:szCs w:val="22"/>
        </w:rPr>
        <w:t>Por medio del cual se modifica la estructura organizacional de la Secretaría Distrital de Cultura, Recreación y Deporte y se dictan otras disposiciones”</w:t>
      </w:r>
      <w:r>
        <w:rPr>
          <w:rFonts w:eastAsia="Arial" w:cs="Arial" w:ascii="Arial" w:hAnsi="Arial"/>
          <w:color w:val="000000"/>
          <w:sz w:val="22"/>
          <w:szCs w:val="22"/>
        </w:rPr>
        <w:t>, en el literal u del artículo 3, le otorga a esta Secretaría la función de “</w:t>
      </w:r>
      <w:r>
        <w:rPr>
          <w:rFonts w:eastAsia="Arial" w:cs="Arial" w:ascii="Arial" w:hAnsi="Arial"/>
          <w:i/>
          <w:color w:val="000000"/>
          <w:sz w:val="22"/>
          <w:szCs w:val="22"/>
        </w:rPr>
        <w:t>Orientar y coordinar las actividades para el funcionamiento de los espacios de concertación, las instancias y los procesos del Sistema Distrital de Arte, Cultura y Patrimonio y demás funciones previstas en el Decreto 627 de 2007 o la norma que lo modifique”</w:t>
      </w:r>
      <w:r>
        <w:rPr>
          <w:rFonts w:eastAsia="Arial" w:cs="Arial" w:ascii="Arial" w:hAnsi="Arial"/>
          <w:color w:val="000000"/>
          <w:sz w:val="22"/>
          <w:szCs w:val="22"/>
        </w:rPr>
        <w:t>.</w:t>
      </w:r>
    </w:p>
    <w:p>
      <w:pPr>
        <w:pStyle w:val="Normal"/>
        <w:widowControl/>
        <w:jc w:val="both"/>
        <w:rPr>
          <w:rFonts w:ascii="Arial" w:hAnsi="Arial" w:eastAsia="Arial" w:cs="Arial"/>
          <w:color w:val="000000"/>
          <w:sz w:val="22"/>
          <w:szCs w:val="22"/>
        </w:rPr>
      </w:pPr>
      <w:r>
        <w:rPr>
          <w:rFonts w:eastAsia="Arial" w:cs="Arial" w:ascii="Arial" w:hAnsi="Arial"/>
          <w:color w:val="000000"/>
          <w:sz w:val="22"/>
          <w:szCs w:val="22"/>
        </w:rPr>
      </w:r>
    </w:p>
    <w:p>
      <w:pPr>
        <w:pStyle w:val="Normal"/>
        <w:widowControl/>
        <w:jc w:val="both"/>
        <w:rPr/>
      </w:pPr>
      <w:r>
        <w:rPr>
          <w:rFonts w:eastAsia="Arial" w:cs="Arial" w:ascii="Arial" w:hAnsi="Arial"/>
          <w:color w:val="000000"/>
          <w:sz w:val="22"/>
          <w:szCs w:val="22"/>
        </w:rPr>
        <w:t>Que mediante Decreto Distrital 336 de 2022 “</w:t>
      </w:r>
      <w:r>
        <w:rPr>
          <w:rFonts w:eastAsia="Arial" w:cs="Arial" w:ascii="Arial" w:hAnsi="Arial"/>
          <w:i/>
          <w:color w:val="000000"/>
          <w:sz w:val="22"/>
          <w:szCs w:val="22"/>
        </w:rPr>
        <w:t>Por el cual se modifica el Decreto Distrital </w:t>
      </w:r>
      <w:hyperlink r:id="rId2">
        <w:r>
          <w:rPr>
            <w:rStyle w:val="Style"/>
            <w:rFonts w:eastAsia="Arial" w:cs="Arial" w:ascii="Arial" w:hAnsi="Arial"/>
            <w:i/>
            <w:color w:val="000000"/>
            <w:sz w:val="22"/>
            <w:szCs w:val="22"/>
          </w:rPr>
          <w:t>627</w:t>
        </w:r>
      </w:hyperlink>
      <w:r>
        <w:rPr>
          <w:rFonts w:eastAsia="Arial" w:cs="Arial" w:ascii="Arial" w:hAnsi="Arial"/>
          <w:i/>
          <w:color w:val="000000"/>
          <w:sz w:val="22"/>
          <w:szCs w:val="22"/>
        </w:rPr>
        <w:t> de 2007 “Por el cual se reforma el Sistema Distrital de Cultura y se establece el Sistema Distrital de Arte, Cultura y Patrimonio”, y se modifica y adiciona el Decreto </w:t>
      </w:r>
      <w:hyperlink r:id="rId3">
        <w:r>
          <w:rPr>
            <w:rStyle w:val="Style"/>
            <w:rFonts w:eastAsia="Arial" w:cs="Arial" w:ascii="Arial" w:hAnsi="Arial"/>
            <w:i/>
            <w:color w:val="000000"/>
            <w:sz w:val="22"/>
            <w:szCs w:val="22"/>
          </w:rPr>
          <w:t>480</w:t>
        </w:r>
      </w:hyperlink>
      <w:r>
        <w:rPr>
          <w:rFonts w:eastAsia="Arial" w:cs="Arial" w:ascii="Arial" w:hAnsi="Arial"/>
          <w:i/>
          <w:color w:val="000000"/>
          <w:sz w:val="22"/>
          <w:szCs w:val="22"/>
        </w:rPr>
        <w:t> de 2018 “Por medio del cual se modifica, adiciona y reglamenta el Decreto Distrital 627 de 2007”</w:t>
      </w:r>
      <w:r>
        <w:rPr>
          <w:rFonts w:eastAsia="Arial" w:cs="Arial" w:ascii="Arial" w:hAnsi="Arial"/>
          <w:color w:val="000000"/>
          <w:sz w:val="22"/>
          <w:szCs w:val="22"/>
        </w:rPr>
        <w:t>, entre otras cosas, estableció la necesidad de un umbral para el proceso electoral de los Consejos que integran el Sistema Distrital de Arte, Cultura y Patrimonio – SDACP.</w:t>
      </w:r>
      <w:r>
        <w:rPr>
          <w:rFonts w:eastAsia="Arial" w:cs="Arial" w:ascii="Arial" w:hAnsi="Arial"/>
          <w:i/>
          <w:color w:val="000000"/>
          <w:sz w:val="22"/>
          <w:szCs w:val="22"/>
        </w:rPr>
        <w:t> </w:t>
      </w:r>
    </w:p>
    <w:p>
      <w:pPr>
        <w:pStyle w:val="Normal"/>
        <w:pBdr/>
        <w:jc w:val="both"/>
        <w:rPr>
          <w:rFonts w:ascii="Arial" w:hAnsi="Arial" w:cs="Arial"/>
          <w:sz w:val="22"/>
          <w:szCs w:val="22"/>
        </w:rPr>
      </w:pPr>
      <w:r>
        <w:rPr>
          <w:rFonts w:cs="Arial" w:ascii="Arial" w:hAnsi="Arial"/>
          <w:sz w:val="22"/>
          <w:szCs w:val="22"/>
        </w:rPr>
      </w:r>
    </w:p>
    <w:p>
      <w:pPr>
        <w:pStyle w:val="Normal"/>
        <w:pBdr/>
        <w:jc w:val="both"/>
        <w:rPr/>
      </w:pPr>
      <w:r>
        <w:rPr>
          <w:rFonts w:cs="Arial" w:ascii="Arial" w:hAnsi="Arial"/>
          <w:color w:val="000000"/>
          <w:sz w:val="22"/>
          <w:szCs w:val="22"/>
        </w:rPr>
        <w:t>Que el artículo </w:t>
      </w:r>
      <w:r>
        <w:fldChar w:fldCharType="begin"/>
      </w:r>
      <w:r>
        <w:rPr>
          <w:rStyle w:val="Style"/>
          <w:sz w:val="22"/>
          <w:szCs w:val="22"/>
          <w:rFonts w:cs="Arial" w:ascii="Arial" w:hAnsi="Arial"/>
        </w:rPr>
        <w:instrText> HYPERLINK "https://www.alcaldiabogota.gov.co/sisjur/normas/Norma1.jsp?i=28164" \l "12"</w:instrText>
      </w:r>
      <w:r>
        <w:rPr>
          <w:rStyle w:val="Style"/>
          <w:sz w:val="22"/>
          <w:szCs w:val="22"/>
          <w:rFonts w:cs="Arial" w:ascii="Arial" w:hAnsi="Arial"/>
        </w:rPr>
        <w:fldChar w:fldCharType="separate"/>
      </w:r>
      <w:r>
        <w:rPr>
          <w:rStyle w:val="Style"/>
          <w:rFonts w:cs="Arial" w:ascii="Arial" w:hAnsi="Arial"/>
          <w:color w:val="000000"/>
          <w:sz w:val="22"/>
          <w:szCs w:val="22"/>
        </w:rPr>
        <w:t>12</w:t>
      </w:r>
      <w:r>
        <w:rPr>
          <w:rStyle w:val="Style"/>
          <w:sz w:val="22"/>
          <w:szCs w:val="22"/>
          <w:rFonts w:cs="Arial" w:ascii="Arial" w:hAnsi="Arial"/>
        </w:rPr>
        <w:fldChar w:fldCharType="end"/>
      </w:r>
      <w:r>
        <w:rPr>
          <w:rFonts w:cs="Arial" w:ascii="Arial" w:hAnsi="Arial"/>
          <w:color w:val="000000"/>
          <w:sz w:val="22"/>
          <w:szCs w:val="22"/>
        </w:rPr>
        <w:t xml:space="preserve"> del Decreto Distrital 627 de 2007, modificado por al artículo 1º del Decreto 336 de 2022 </w:t>
      </w:r>
      <w:r>
        <w:rPr>
          <w:rFonts w:cs="Arial" w:ascii="Arial" w:hAnsi="Arial"/>
          <w:i/>
          <w:iCs/>
          <w:color w:val="000000"/>
          <w:sz w:val="22"/>
          <w:szCs w:val="22"/>
        </w:rPr>
        <w:t>“Por el cual se modifica el Decreto Distrital </w:t>
      </w:r>
      <w:hyperlink r:id="rId4">
        <w:r>
          <w:rPr>
            <w:rStyle w:val="Style"/>
            <w:rFonts w:cs="Arial" w:ascii="Arial" w:hAnsi="Arial"/>
            <w:i/>
            <w:iCs/>
            <w:color w:val="000000"/>
            <w:sz w:val="22"/>
            <w:szCs w:val="22"/>
          </w:rPr>
          <w:t>627</w:t>
        </w:r>
      </w:hyperlink>
      <w:r>
        <w:rPr>
          <w:rFonts w:cs="Arial" w:ascii="Arial" w:hAnsi="Arial"/>
          <w:i/>
          <w:iCs/>
          <w:color w:val="000000"/>
          <w:sz w:val="22"/>
          <w:szCs w:val="22"/>
        </w:rPr>
        <w:t> de 2007 “Por el cual se reforma el Sistema Distrital de Cultura y se establece el Sistema Distrital de Arte, Cultura y Patrimonio”, y se modifica y adiciona el Decreto </w:t>
      </w:r>
      <w:hyperlink r:id="rId5">
        <w:r>
          <w:rPr>
            <w:rStyle w:val="Style"/>
            <w:rFonts w:cs="Arial" w:ascii="Arial" w:hAnsi="Arial"/>
            <w:i/>
            <w:iCs/>
            <w:color w:val="000000"/>
            <w:sz w:val="22"/>
            <w:szCs w:val="22"/>
          </w:rPr>
          <w:t>480</w:t>
        </w:r>
      </w:hyperlink>
      <w:r>
        <w:rPr>
          <w:rFonts w:cs="Arial" w:ascii="Arial" w:hAnsi="Arial"/>
          <w:i/>
          <w:iCs/>
          <w:color w:val="000000"/>
          <w:sz w:val="22"/>
          <w:szCs w:val="22"/>
        </w:rPr>
        <w:t> de 2018 “Por medio del cual se modifica, adiciona y reglamenta el Decreto Distrital 627 de 2007</w:t>
      </w:r>
      <w:r>
        <w:rPr>
          <w:rFonts w:cs="Arial" w:ascii="Arial" w:hAnsi="Arial"/>
          <w:color w:val="000000"/>
          <w:sz w:val="22"/>
          <w:szCs w:val="22"/>
        </w:rPr>
        <w:t>”, señala en su parágrafo 4º que:</w:t>
      </w:r>
    </w:p>
    <w:p>
      <w:pPr>
        <w:pStyle w:val="Normal"/>
        <w:pBdr/>
        <w:jc w:val="both"/>
        <w:rPr>
          <w:rFonts w:ascii="Arial" w:hAnsi="Arial" w:cs="Arial"/>
          <w:color w:val="000000"/>
          <w:sz w:val="22"/>
          <w:szCs w:val="22"/>
        </w:rPr>
      </w:pPr>
      <w:r>
        <w:rPr>
          <w:rFonts w:cs="Arial" w:ascii="Arial" w:hAnsi="Arial"/>
          <w:color w:val="000000"/>
          <w:sz w:val="22"/>
          <w:szCs w:val="22"/>
        </w:rPr>
      </w:r>
    </w:p>
    <w:p>
      <w:pPr>
        <w:pStyle w:val="Normal"/>
        <w:pBdr/>
        <w:jc w:val="both"/>
        <w:rPr/>
      </w:pPr>
      <w:r>
        <w:rPr>
          <w:rFonts w:cs="Arial" w:ascii="Arial" w:hAnsi="Arial"/>
          <w:i/>
          <w:iCs/>
          <w:color w:val="000000"/>
          <w:sz w:val="22"/>
          <w:szCs w:val="22"/>
        </w:rPr>
        <w:t>“</w:t>
      </w:r>
      <w:r>
        <w:rPr>
          <w:rFonts w:cs="Arial" w:ascii="Arial" w:hAnsi="Arial"/>
          <w:b/>
          <w:bCs/>
          <w:i/>
          <w:iCs/>
          <w:color w:val="000000"/>
          <w:sz w:val="22"/>
          <w:szCs w:val="22"/>
        </w:rPr>
        <w:t>Parágrafo 4º</w:t>
      </w:r>
      <w:r>
        <w:rPr>
          <w:rFonts w:cs="Arial" w:ascii="Arial" w:hAnsi="Arial"/>
          <w:i/>
          <w:iCs/>
          <w:color w:val="000000"/>
          <w:sz w:val="22"/>
          <w:szCs w:val="22"/>
        </w:rPr>
        <w:t>. En la conformación de los Consejos Locales de Arte, Cultura y Patrimonio establecida en el numeral </w:t>
      </w:r>
      <w:r>
        <w:fldChar w:fldCharType="begin"/>
      </w:r>
      <w:r>
        <w:rPr>
          <w:rStyle w:val="Style"/>
          <w:sz w:val="22"/>
          <w:i/>
          <w:szCs w:val="22"/>
          <w:iCs/>
          <w:rFonts w:cs="Arial" w:ascii="Arial" w:hAnsi="Arial"/>
        </w:rPr>
        <w:instrText> HYPERLINK "https://www.alcaldiabogota.gov.co/sisjur/normas/Norma1.jsp?i=80504" \l "25.n.25.1"</w:instrText>
      </w:r>
      <w:r>
        <w:rPr>
          <w:rStyle w:val="Style"/>
          <w:sz w:val="22"/>
          <w:i/>
          <w:szCs w:val="22"/>
          <w:iCs/>
          <w:rFonts w:cs="Arial" w:ascii="Arial" w:hAnsi="Arial"/>
        </w:rPr>
        <w:fldChar w:fldCharType="separate"/>
      </w:r>
      <w:r>
        <w:rPr>
          <w:rStyle w:val="Style"/>
          <w:rFonts w:cs="Arial" w:ascii="Arial" w:hAnsi="Arial"/>
          <w:i/>
          <w:iCs/>
          <w:color w:val="000000"/>
          <w:sz w:val="22"/>
          <w:szCs w:val="22"/>
        </w:rPr>
        <w:t>25.1</w:t>
      </w:r>
      <w:r>
        <w:rPr>
          <w:rStyle w:val="Style"/>
          <w:sz w:val="22"/>
          <w:i/>
          <w:szCs w:val="22"/>
          <w:iCs/>
          <w:rFonts w:cs="Arial" w:ascii="Arial" w:hAnsi="Arial"/>
        </w:rPr>
        <w:fldChar w:fldCharType="end"/>
      </w:r>
      <w:r>
        <w:rPr>
          <w:rFonts w:cs="Arial" w:ascii="Arial" w:hAnsi="Arial"/>
          <w:i/>
          <w:iCs/>
          <w:color w:val="000000"/>
          <w:sz w:val="22"/>
          <w:szCs w:val="22"/>
        </w:rPr>
        <w:t> del artículo 25 del Decreto Distrital 480 de 2018, en caso que uno o varios de los sectores establecidos para los agentes sectoriales y sociales no cuente con candidatos, o los candidatos inscritos no alcancen el umbral establecido, en comunicación oficial o acto administrativo, se procederá a ocupar las vacantes disponibles con los candidatos con mayor número de votos en las elecciones, independientemente del sector por el cual se hayan postulado.”</w:t>
      </w:r>
    </w:p>
    <w:p>
      <w:pPr>
        <w:pStyle w:val="Normal"/>
        <w:pBdr/>
        <w:jc w:val="both"/>
        <w:rPr>
          <w:rFonts w:ascii="Arial" w:hAnsi="Arial" w:eastAsia="Arial" w:cs="Arial"/>
          <w:color w:val="000000"/>
          <w:sz w:val="22"/>
          <w:szCs w:val="22"/>
        </w:rPr>
      </w:pPr>
      <w:r>
        <w:rPr>
          <w:rFonts w:eastAsia="Arial" w:cs="Arial" w:ascii="Arial" w:hAnsi="Arial"/>
          <w:color w:val="000000"/>
          <w:sz w:val="22"/>
          <w:szCs w:val="22"/>
        </w:rPr>
      </w:r>
    </w:p>
    <w:p>
      <w:pPr>
        <w:pStyle w:val="Normal"/>
        <w:jc w:val="both"/>
        <w:rPr>
          <w:rFonts w:ascii="Arial" w:hAnsi="Arial" w:cs="Arial"/>
          <w:sz w:val="22"/>
          <w:szCs w:val="22"/>
        </w:rPr>
      </w:pPr>
      <w:r>
        <w:rPr>
          <w:rFonts w:cs="Arial" w:ascii="Arial" w:hAnsi="Arial"/>
          <w:sz w:val="22"/>
          <w:szCs w:val="22"/>
        </w:rPr>
        <w:t>Que el artículo 9 del Decreto Distrital 480 de 2018 "</w:t>
      </w:r>
      <w:r>
        <w:rPr>
          <w:rFonts w:cs="Arial" w:ascii="Arial" w:hAnsi="Arial"/>
          <w:i/>
          <w:iCs/>
          <w:sz w:val="22"/>
          <w:szCs w:val="22"/>
        </w:rPr>
        <w:t>Por medio del cual se modifica, adiciona y reglamenta el Decreto Distrital No. 627 de 2007 ‘Por el cual se reforma el Sistema Distrital de Cultura y se establece el Sistema Distrital de Arte, Cultura y Patrimonio’ y se dictan otras disposiciones</w:t>
      </w:r>
      <w:r>
        <w:rPr>
          <w:rFonts w:cs="Arial" w:ascii="Arial" w:hAnsi="Arial"/>
          <w:sz w:val="22"/>
          <w:szCs w:val="22"/>
        </w:rPr>
        <w:t>" define la elección atípica como: “</w:t>
      </w:r>
      <w:r>
        <w:rPr>
          <w:rFonts w:cs="Arial" w:ascii="Arial" w:hAnsi="Arial"/>
          <w:i/>
          <w:iCs/>
          <w:sz w:val="22"/>
          <w:szCs w:val="22"/>
        </w:rPr>
        <w:t xml:space="preserve">Mecanismo para el ingreso de nuevos actores, reemplazos y sectores desiertos. Cada Consejo mediante </w:t>
      </w:r>
      <w:r>
        <w:rPr>
          <w:rFonts w:cs="Arial" w:ascii="Arial" w:hAnsi="Arial"/>
          <w:b/>
          <w:bCs/>
          <w:i/>
          <w:iCs/>
          <w:sz w:val="22"/>
          <w:szCs w:val="22"/>
        </w:rPr>
        <w:t>asambleas, análisis de experiencia, estudio de hoja de vida u otro mecanismo</w:t>
      </w:r>
      <w:r>
        <w:rPr>
          <w:rFonts w:cs="Arial" w:ascii="Arial" w:hAnsi="Arial"/>
          <w:i/>
          <w:iCs/>
          <w:sz w:val="22"/>
          <w:szCs w:val="22"/>
        </w:rPr>
        <w:t xml:space="preserve"> podrá permitir el ingreso de sectores artísticos, culturales o poblaciones no reconocidas en el presente decreto, sectores desiertos; lo anterior, siempre y cuando se haga </w:t>
      </w:r>
      <w:r>
        <w:rPr>
          <w:rFonts w:cs="Arial" w:ascii="Arial" w:hAnsi="Arial"/>
          <w:b/>
          <w:bCs/>
          <w:i/>
          <w:iCs/>
          <w:sz w:val="22"/>
          <w:szCs w:val="22"/>
        </w:rPr>
        <w:t>a través de convocatoria pública y cuente con el aval de la Dirección de Asuntos Locales y Participación</w:t>
      </w:r>
      <w:r>
        <w:rPr>
          <w:rFonts w:cs="Arial" w:ascii="Arial" w:hAnsi="Arial"/>
          <w:i/>
          <w:iCs/>
          <w:sz w:val="22"/>
          <w:szCs w:val="22"/>
        </w:rPr>
        <w:t xml:space="preserve"> de la Secretaría Distrital de Cultura, Recreación y Deporte, garantizando los principios de transparencia y eficacia</w:t>
      </w:r>
      <w:r>
        <w:rPr>
          <w:rFonts w:cs="Arial" w:ascii="Arial" w:hAnsi="Arial"/>
          <w:sz w:val="22"/>
          <w:szCs w:val="22"/>
        </w:rPr>
        <w:t>”. Negrilla fuera de texto.</w:t>
      </w:r>
    </w:p>
    <w:p>
      <w:pPr>
        <w:pStyle w:val="Normal"/>
        <w:jc w:val="both"/>
        <w:rPr>
          <w:rFonts w:ascii="Arial" w:hAnsi="Arial" w:cs="Arial"/>
          <w:sz w:val="22"/>
          <w:szCs w:val="22"/>
        </w:rPr>
      </w:pPr>
      <w:r>
        <w:rPr>
          <w:rFonts w:cs="Arial" w:ascii="Arial" w:hAnsi="Arial"/>
          <w:sz w:val="22"/>
          <w:szCs w:val="22"/>
        </w:rPr>
      </w:r>
    </w:p>
    <w:p>
      <w:pPr>
        <w:pStyle w:val="Normal"/>
        <w:jc w:val="both"/>
        <w:rPr>
          <w:rFonts w:ascii="Arial" w:hAnsi="Arial" w:cs="Arial"/>
          <w:sz w:val="22"/>
          <w:szCs w:val="22"/>
        </w:rPr>
      </w:pPr>
      <w:r>
        <w:rPr>
          <w:rFonts w:cs="Arial" w:ascii="Arial" w:hAnsi="Arial"/>
          <w:sz w:val="22"/>
          <w:szCs w:val="22"/>
        </w:rPr>
        <w:t>Que el artículo 62 del Decreto Distrital 480 de 2018 establece que “</w:t>
      </w:r>
      <w:r>
        <w:rPr>
          <w:rFonts w:cs="Arial" w:ascii="Arial" w:hAnsi="Arial"/>
          <w:i/>
          <w:iCs/>
          <w:sz w:val="22"/>
          <w:szCs w:val="22"/>
        </w:rPr>
        <w:t>El período de los representantes elegidos a los Consejos del Sistema Distrital de Arte, Cultura y Patrimonio será de cuatro (4) años contados a partir de su instalación. En caso que una organización o una persona natural pierda su espacio en el consejo respectivo por cualquier causal definida en los reglamentos internos y falte a tres sesiones sin justificación, será reemplazado por el siguiente en número de votos del mismo sector. De no ser posible el reemplazo por este mecanismo, el consejo respectivo propondrá el mecanismo de elección atípica establecida en el artículo 9 del presente Decreto, para cubrir la vacante a la Dirección de Asuntos Locales de la Secretaría Distrital de Recreación y Deporte, quien definirá las acciones a seguir</w:t>
      </w:r>
      <w:r>
        <w:rPr>
          <w:rFonts w:cs="Arial" w:ascii="Arial" w:hAnsi="Arial"/>
          <w:sz w:val="22"/>
          <w:szCs w:val="22"/>
        </w:rPr>
        <w:t>”.</w:t>
      </w:r>
    </w:p>
    <w:p>
      <w:pPr>
        <w:pStyle w:val="Normal"/>
        <w:jc w:val="both"/>
        <w:rPr>
          <w:rFonts w:ascii="Arial" w:hAnsi="Arial" w:cs="Arial"/>
          <w:sz w:val="22"/>
          <w:szCs w:val="22"/>
        </w:rPr>
      </w:pPr>
      <w:r>
        <w:rPr>
          <w:rFonts w:cs="Arial" w:ascii="Arial" w:hAnsi="Arial"/>
          <w:sz w:val="22"/>
          <w:szCs w:val="22"/>
        </w:rPr>
      </w:r>
    </w:p>
    <w:p>
      <w:pPr>
        <w:pStyle w:val="Normal"/>
        <w:jc w:val="both"/>
        <w:rPr>
          <w:rFonts w:ascii="Arial" w:hAnsi="Arial" w:cs="Arial"/>
          <w:sz w:val="22"/>
          <w:szCs w:val="22"/>
        </w:rPr>
      </w:pPr>
      <w:r>
        <w:rPr>
          <w:rFonts w:cs="Arial" w:ascii="Arial" w:hAnsi="Arial"/>
          <w:sz w:val="22"/>
          <w:szCs w:val="22"/>
        </w:rPr>
        <w:t>Que, de acuerdo con las dinámicas de participación, en el proceso de elección de los/las Representantes a los Consejos Distritales y Locales del Sistema Distrital de Arte, Cultura y Patrimonio – SDACP - para Bogotá D.C, para el período 2023 – 2027 reglamentado por la Resolución 933 de 2022 y modificado por la Resolución 65 de 2023 y 135 de 2023, expedidas por la Secretaría de Cultura, Recreación y Deporte, no se inscribieron candidatos en algunos sectores y quedaron desiertas curules, razones por las cuales se hace necesario reglamentar el proceso de elección de las representaciones de dichos sectores mediante el mecanismo de elección atípica previsto en el artículo 9 del Decreto Distrital 480 de 2017 y el de reemplazos previsto en el artículo 62 del mismo decreto, de acuerdo con las modificaciones introducidas por el citado Decreto 336 de 2022.</w:t>
      </w:r>
    </w:p>
    <w:p>
      <w:pPr>
        <w:pStyle w:val="Normal"/>
        <w:pBdr/>
        <w:jc w:val="both"/>
        <w:rPr>
          <w:rFonts w:ascii="Arial" w:hAnsi="Arial" w:cs="Arial"/>
          <w:color w:val="000000"/>
          <w:sz w:val="22"/>
          <w:szCs w:val="22"/>
        </w:rPr>
      </w:pPr>
      <w:r>
        <w:rPr>
          <w:rFonts w:cs="Arial" w:ascii="Arial" w:hAnsi="Arial"/>
          <w:color w:val="000000"/>
          <w:sz w:val="22"/>
          <w:szCs w:val="22"/>
        </w:rPr>
      </w:r>
    </w:p>
    <w:p>
      <w:pPr>
        <w:pStyle w:val="Normal"/>
        <w:rPr>
          <w:rFonts w:ascii="Arial" w:hAnsi="Arial" w:cs="Arial"/>
          <w:sz w:val="22"/>
          <w:szCs w:val="22"/>
        </w:rPr>
      </w:pPr>
      <w:r>
        <w:rPr>
          <w:rFonts w:cs="Arial" w:ascii="Arial" w:hAnsi="Arial"/>
          <w:sz w:val="22"/>
          <w:szCs w:val="22"/>
        </w:rPr>
      </w:r>
    </w:p>
    <w:p>
      <w:pPr>
        <w:pStyle w:val="Normal"/>
        <w:pBdr/>
        <w:jc w:val="both"/>
        <w:rPr>
          <w:rFonts w:ascii="Arial" w:hAnsi="Arial" w:cs="Arial"/>
          <w:sz w:val="22"/>
          <w:szCs w:val="22"/>
        </w:rPr>
      </w:pPr>
      <w:r>
        <w:rPr>
          <w:rFonts w:eastAsia="Arial" w:cs="Arial" w:ascii="Arial" w:hAnsi="Arial"/>
          <w:color w:val="000000"/>
          <w:sz w:val="22"/>
          <w:szCs w:val="22"/>
        </w:rPr>
        <w:t>En mérito de lo expuesto, </w:t>
      </w:r>
    </w:p>
    <w:p>
      <w:pPr>
        <w:pStyle w:val="Normal"/>
        <w:pBdr/>
        <w:jc w:val="center"/>
        <w:rPr>
          <w:rFonts w:ascii="Arial" w:hAnsi="Arial" w:eastAsia="Arial" w:cs="Arial"/>
          <w:b/>
          <w:b/>
          <w:color w:val="000000"/>
          <w:sz w:val="22"/>
          <w:szCs w:val="22"/>
        </w:rPr>
      </w:pPr>
      <w:r>
        <w:rPr>
          <w:rFonts w:eastAsia="Arial" w:cs="Arial" w:ascii="Arial" w:hAnsi="Arial"/>
          <w:b/>
          <w:color w:val="000000"/>
          <w:sz w:val="22"/>
          <w:szCs w:val="22"/>
        </w:rPr>
      </w:r>
    </w:p>
    <w:p>
      <w:pPr>
        <w:pStyle w:val="Normal"/>
        <w:pBdr/>
        <w:jc w:val="center"/>
        <w:rPr>
          <w:rFonts w:ascii="Arial" w:hAnsi="Arial" w:eastAsia="Arial" w:cs="Arial"/>
          <w:b/>
          <w:b/>
          <w:color w:val="000000"/>
          <w:sz w:val="22"/>
          <w:szCs w:val="22"/>
        </w:rPr>
      </w:pPr>
      <w:r>
        <w:rPr>
          <w:rFonts w:eastAsia="Arial" w:cs="Arial" w:ascii="Arial" w:hAnsi="Arial"/>
          <w:b/>
          <w:color w:val="000000"/>
          <w:sz w:val="22"/>
          <w:szCs w:val="22"/>
        </w:rPr>
      </w:r>
    </w:p>
    <w:p>
      <w:pPr>
        <w:pStyle w:val="Normal"/>
        <w:pBdr/>
        <w:jc w:val="center"/>
        <w:rPr>
          <w:rFonts w:ascii="Arial" w:hAnsi="Arial" w:eastAsia="Arial" w:cs="Arial"/>
          <w:b/>
          <w:b/>
          <w:color w:val="000000"/>
          <w:sz w:val="22"/>
          <w:szCs w:val="22"/>
        </w:rPr>
      </w:pPr>
      <w:r>
        <w:rPr>
          <w:rFonts w:eastAsia="Arial" w:cs="Arial" w:ascii="Arial" w:hAnsi="Arial"/>
          <w:b/>
          <w:color w:val="000000"/>
          <w:sz w:val="22"/>
          <w:szCs w:val="22"/>
        </w:rPr>
        <w:t>RESUELVE:</w:t>
      </w:r>
    </w:p>
    <w:p>
      <w:pPr>
        <w:pStyle w:val="Normal"/>
        <w:pBdr/>
        <w:jc w:val="center"/>
        <w:rPr>
          <w:rFonts w:ascii="Arial" w:hAnsi="Arial" w:cs="Arial"/>
          <w:sz w:val="22"/>
          <w:szCs w:val="22"/>
        </w:rPr>
      </w:pPr>
      <w:r>
        <w:rPr>
          <w:rFonts w:cs="Arial" w:ascii="Arial" w:hAnsi="Arial"/>
          <w:sz w:val="22"/>
          <w:szCs w:val="22"/>
        </w:rPr>
      </w:r>
    </w:p>
    <w:p>
      <w:pPr>
        <w:pStyle w:val="Normal"/>
        <w:jc w:val="both"/>
        <w:rPr>
          <w:rFonts w:ascii="Arial" w:hAnsi="Arial" w:cs="Arial"/>
          <w:sz w:val="22"/>
          <w:szCs w:val="22"/>
        </w:rPr>
      </w:pPr>
      <w:r>
        <w:rPr>
          <w:rFonts w:cs="Arial" w:ascii="Arial" w:hAnsi="Arial"/>
          <w:b/>
          <w:bCs/>
          <w:sz w:val="22"/>
          <w:szCs w:val="22"/>
        </w:rPr>
        <w:t>Artículo 1</w:t>
      </w:r>
      <w:r>
        <w:rPr>
          <w:rFonts w:cs="Arial" w:ascii="Arial" w:hAnsi="Arial"/>
          <w:sz w:val="22"/>
          <w:szCs w:val="22"/>
        </w:rPr>
        <w:t>. Reglamentar el procedimiento de elección atípica para los consejos que hacen parte del Sistema Distrital de Arte, Cultura y Patrimonio, que se encuentran descritas en los artículos 9 y 62 del Decreto Distrital 480 de 2018.</w:t>
      </w:r>
    </w:p>
    <w:p>
      <w:pPr>
        <w:pStyle w:val="Normal"/>
        <w:jc w:val="both"/>
        <w:rPr>
          <w:rFonts w:ascii="Arial" w:hAnsi="Arial" w:cs="Arial"/>
          <w:sz w:val="22"/>
          <w:szCs w:val="22"/>
        </w:rPr>
      </w:pPr>
      <w:r>
        <w:rPr>
          <w:rFonts w:cs="Arial" w:ascii="Arial" w:hAnsi="Arial"/>
          <w:sz w:val="22"/>
          <w:szCs w:val="22"/>
        </w:rPr>
      </w:r>
    </w:p>
    <w:p>
      <w:pPr>
        <w:pStyle w:val="Normal"/>
        <w:jc w:val="both"/>
        <w:rPr>
          <w:rFonts w:ascii="Arial" w:hAnsi="Arial" w:cs="Arial"/>
          <w:b/>
          <w:b/>
          <w:bCs/>
          <w:sz w:val="22"/>
          <w:szCs w:val="22"/>
        </w:rPr>
      </w:pPr>
      <w:r>
        <w:rPr>
          <w:rFonts w:cs="Arial" w:ascii="Arial" w:hAnsi="Arial"/>
          <w:b/>
          <w:bCs/>
          <w:sz w:val="22"/>
          <w:szCs w:val="22"/>
        </w:rPr>
      </w:r>
    </w:p>
    <w:p>
      <w:pPr>
        <w:pStyle w:val="Normal"/>
        <w:jc w:val="both"/>
        <w:rPr>
          <w:rFonts w:ascii="Arial" w:hAnsi="Arial" w:cs="Arial"/>
          <w:b/>
          <w:b/>
          <w:bCs/>
          <w:sz w:val="22"/>
          <w:szCs w:val="22"/>
        </w:rPr>
      </w:pPr>
      <w:r>
        <w:rPr>
          <w:rFonts w:cs="Arial" w:ascii="Arial" w:hAnsi="Arial"/>
          <w:b/>
          <w:bCs/>
          <w:sz w:val="22"/>
          <w:szCs w:val="22"/>
        </w:rPr>
      </w:r>
    </w:p>
    <w:p>
      <w:pPr>
        <w:pStyle w:val="Normal"/>
        <w:jc w:val="both"/>
        <w:rPr>
          <w:rFonts w:ascii="Arial" w:hAnsi="Arial" w:cs="Arial"/>
          <w:sz w:val="22"/>
          <w:szCs w:val="22"/>
        </w:rPr>
      </w:pPr>
      <w:r>
        <w:rPr>
          <w:rFonts w:cs="Arial" w:ascii="Arial" w:hAnsi="Arial"/>
          <w:b/>
          <w:bCs/>
          <w:sz w:val="22"/>
          <w:szCs w:val="22"/>
        </w:rPr>
        <w:t>Artículo 2</w:t>
      </w:r>
      <w:r>
        <w:rPr>
          <w:rFonts w:cs="Arial" w:ascii="Arial" w:hAnsi="Arial"/>
          <w:sz w:val="22"/>
          <w:szCs w:val="22"/>
        </w:rPr>
        <w:t>. El consejo a través de la respectiva Secretaria Técnica hará llegar a la Dirección de Asuntos Locales y Participación de la Secretaría Distrital de Cultura, Recreación y Deporte, la solicitud para la realización de una elección atípica; la dependencia que evaluará la situación y la pertinencia de realizar la elección, emitiendo o negando el aval, lo cual se comunicará al respectivo consejo en la sesión siguiente a la fecha de recibido del aval, o en una sesión extraordinaria como lo determine el consejo.</w:t>
      </w:r>
    </w:p>
    <w:p>
      <w:pPr>
        <w:pStyle w:val="Normal"/>
        <w:jc w:val="both"/>
        <w:rPr>
          <w:rFonts w:ascii="Arial" w:hAnsi="Arial" w:cs="Arial"/>
          <w:sz w:val="22"/>
          <w:szCs w:val="22"/>
        </w:rPr>
      </w:pPr>
      <w:r>
        <w:rPr>
          <w:rFonts w:cs="Arial" w:ascii="Arial" w:hAnsi="Arial"/>
          <w:sz w:val="22"/>
          <w:szCs w:val="22"/>
        </w:rPr>
      </w:r>
    </w:p>
    <w:p>
      <w:pPr>
        <w:pStyle w:val="Normal"/>
        <w:jc w:val="both"/>
        <w:rPr>
          <w:rFonts w:ascii="Arial" w:hAnsi="Arial" w:cs="Arial"/>
          <w:sz w:val="22"/>
          <w:szCs w:val="22"/>
        </w:rPr>
      </w:pPr>
      <w:r>
        <w:rPr>
          <w:rFonts w:cs="Arial" w:ascii="Arial" w:hAnsi="Arial"/>
          <w:b/>
          <w:bCs/>
          <w:sz w:val="22"/>
          <w:szCs w:val="22"/>
        </w:rPr>
        <w:t>Parágrafo 1.</w:t>
      </w:r>
      <w:r>
        <w:rPr>
          <w:rFonts w:cs="Arial" w:ascii="Arial" w:hAnsi="Arial"/>
          <w:sz w:val="22"/>
          <w:szCs w:val="22"/>
        </w:rPr>
        <w:t xml:space="preserve"> La solicitud deberá contener la justificación de la elección atípica, el mecanismo seleccionado por el consejo para la elección del nuevo consejero de conformidad con lo establecido en el artículo 9 del Decreto Distrital 480 de 2018 estableciendo la forma de selección, lugar y forma de recepción de los documentos de los candidatos y un cronograma que detalle las fechas del mecanismo seleccionado, garantizando al menos una (1) semana para la inscripción de candidatos, dos (2) semanas para la inscripción de electores de acuerdo al mecanismo seleccionado y un mecanismo de control o veeduría para validar la elección y garantizar la transparencia del proceso.</w:t>
      </w:r>
    </w:p>
    <w:p>
      <w:pPr>
        <w:pStyle w:val="Normal"/>
        <w:jc w:val="both"/>
        <w:rPr>
          <w:rFonts w:ascii="Arial" w:hAnsi="Arial" w:cs="Arial"/>
          <w:sz w:val="22"/>
          <w:szCs w:val="22"/>
        </w:rPr>
      </w:pPr>
      <w:r>
        <w:rPr>
          <w:rFonts w:cs="Arial" w:ascii="Arial" w:hAnsi="Arial"/>
          <w:sz w:val="22"/>
          <w:szCs w:val="22"/>
        </w:rPr>
      </w:r>
    </w:p>
    <w:p>
      <w:pPr>
        <w:pStyle w:val="Normal"/>
        <w:jc w:val="both"/>
        <w:rPr>
          <w:rFonts w:ascii="Arial" w:hAnsi="Arial" w:cs="Arial"/>
          <w:sz w:val="22"/>
          <w:szCs w:val="22"/>
        </w:rPr>
      </w:pPr>
      <w:r>
        <w:rPr>
          <w:rFonts w:cs="Arial" w:ascii="Arial" w:hAnsi="Arial"/>
          <w:b/>
          <w:bCs/>
          <w:sz w:val="22"/>
          <w:szCs w:val="22"/>
        </w:rPr>
        <w:t>Artículo 3.</w:t>
      </w:r>
      <w:r>
        <w:rPr>
          <w:rFonts w:cs="Arial" w:ascii="Arial" w:hAnsi="Arial"/>
          <w:sz w:val="22"/>
          <w:szCs w:val="22"/>
        </w:rPr>
        <w:t xml:space="preserve"> Una vez obtenido el aval de la Dirección de Asuntos Locales y Participación de la Secretaría Distrital de Cultura, Recreación y Deporte, para la realización de la elección atípica por la ocurrencia de cualquiera de los tres supuestos que indica el artículo 9 del Decreto Distrital 480 de 2018, se deberá desarrollar el siguiente proceso: La Dirección de Asuntos Locales de la Secretaría Distrital de Cultura, Recreación y Deporte, publicará en el micrositio del Sistema Distrital de Participación de la página de la entidad la invitación de la convocatoria pública para que se presenten todos los interesados en el proceso de selección, dicha convocatoria deberá contener como mínimo, los requisitos y perfiles establecidos para la selección del nuevo consejero, el mecanismo de selección, lugar y forma de la presentación de los documentos de los candidatos y el cronograma de la elección.</w:t>
      </w:r>
    </w:p>
    <w:p>
      <w:pPr>
        <w:pStyle w:val="Normal"/>
        <w:jc w:val="both"/>
        <w:rPr>
          <w:rFonts w:ascii="Arial" w:hAnsi="Arial" w:cs="Arial"/>
          <w:sz w:val="22"/>
          <w:szCs w:val="22"/>
        </w:rPr>
      </w:pPr>
      <w:r>
        <w:rPr>
          <w:rFonts w:cs="Arial" w:ascii="Arial" w:hAnsi="Arial"/>
          <w:sz w:val="22"/>
          <w:szCs w:val="22"/>
        </w:rPr>
      </w:r>
    </w:p>
    <w:p>
      <w:pPr>
        <w:pStyle w:val="Normal"/>
        <w:jc w:val="both"/>
        <w:rPr>
          <w:rFonts w:ascii="Arial" w:hAnsi="Arial" w:cs="Arial"/>
          <w:sz w:val="22"/>
          <w:szCs w:val="22"/>
        </w:rPr>
      </w:pPr>
      <w:r>
        <w:rPr>
          <w:rFonts w:cs="Arial" w:ascii="Arial" w:hAnsi="Arial"/>
          <w:sz w:val="22"/>
          <w:szCs w:val="22"/>
        </w:rPr>
        <w:t>El consejo que solicita la elección atípica tomará las acciones necesarias con el fin de divulgar la convocatoria.</w:t>
      </w:r>
    </w:p>
    <w:p>
      <w:pPr>
        <w:pStyle w:val="Normal"/>
        <w:jc w:val="both"/>
        <w:rPr>
          <w:rFonts w:ascii="Arial" w:hAnsi="Arial" w:cs="Arial"/>
          <w:sz w:val="22"/>
          <w:szCs w:val="22"/>
        </w:rPr>
      </w:pPr>
      <w:r>
        <w:rPr>
          <w:rFonts w:cs="Arial" w:ascii="Arial" w:hAnsi="Arial"/>
          <w:sz w:val="22"/>
          <w:szCs w:val="22"/>
        </w:rPr>
      </w:r>
    </w:p>
    <w:p>
      <w:pPr>
        <w:pStyle w:val="Normal"/>
        <w:jc w:val="both"/>
        <w:rPr>
          <w:rFonts w:ascii="Arial" w:hAnsi="Arial" w:cs="Arial"/>
          <w:sz w:val="22"/>
          <w:szCs w:val="22"/>
        </w:rPr>
      </w:pPr>
      <w:r>
        <w:rPr>
          <w:rFonts w:cs="Arial" w:ascii="Arial" w:hAnsi="Arial"/>
          <w:b/>
          <w:bCs/>
          <w:sz w:val="22"/>
          <w:szCs w:val="22"/>
        </w:rPr>
        <w:t>Artículo 4.</w:t>
      </w:r>
      <w:r>
        <w:rPr>
          <w:rFonts w:cs="Arial" w:ascii="Arial" w:hAnsi="Arial"/>
          <w:sz w:val="22"/>
          <w:szCs w:val="22"/>
        </w:rPr>
        <w:t xml:space="preserve"> El mecanismo seleccionado por el consejo para la elección del nuevo consejero,  de conformidad con lo establecido en el artículo 9 del Decreto Distrital 480 de 2018, deberá garantizar que en la elección de nuevos consejeros, estos cuenten con representación de la ciudadanía, para lo cual deberán alcanzar un umbral de representatividad por sector, igual o superior a la del proceso electoral ordinario de elecciones de Consejos Distritales y Locales del Sistema Distrital de Arte, Cultura y Patrimonio – SDACP - para Bogotá D.C, para el período 2023 – 2027, por lo cual, para que las elecciones atípicas, sean válidas, se deberá contar con un mínimo de 36 electores y con un mínimo de 36 votantes, que elegirán entre los candidatos al consejero del sector. </w:t>
      </w:r>
    </w:p>
    <w:p>
      <w:pPr>
        <w:pStyle w:val="Normal"/>
        <w:jc w:val="both"/>
        <w:rPr>
          <w:rFonts w:ascii="Arial" w:hAnsi="Arial" w:cs="Arial"/>
          <w:b/>
          <w:b/>
          <w:bCs/>
          <w:sz w:val="22"/>
          <w:szCs w:val="22"/>
        </w:rPr>
      </w:pPr>
      <w:r>
        <w:rPr>
          <w:rFonts w:cs="Arial" w:ascii="Arial" w:hAnsi="Arial"/>
          <w:b/>
          <w:bCs/>
          <w:sz w:val="22"/>
          <w:szCs w:val="22"/>
        </w:rPr>
      </w:r>
    </w:p>
    <w:p>
      <w:pPr>
        <w:pStyle w:val="Normal"/>
        <w:jc w:val="both"/>
        <w:rPr>
          <w:rFonts w:ascii="Arial" w:hAnsi="Arial" w:cs="Arial"/>
          <w:b/>
          <w:b/>
          <w:bCs/>
          <w:sz w:val="22"/>
          <w:szCs w:val="22"/>
        </w:rPr>
      </w:pPr>
      <w:r>
        <w:rPr>
          <w:rFonts w:cs="Arial" w:ascii="Arial" w:hAnsi="Arial"/>
          <w:b/>
          <w:bCs/>
          <w:sz w:val="22"/>
          <w:szCs w:val="22"/>
        </w:rPr>
      </w:r>
    </w:p>
    <w:p>
      <w:pPr>
        <w:pStyle w:val="Normal"/>
        <w:jc w:val="both"/>
        <w:rPr>
          <w:rFonts w:ascii="Arial" w:hAnsi="Arial" w:cs="Arial"/>
          <w:sz w:val="22"/>
          <w:szCs w:val="22"/>
        </w:rPr>
      </w:pPr>
      <w:r>
        <w:rPr>
          <w:rFonts w:cs="Arial" w:ascii="Arial" w:hAnsi="Arial"/>
          <w:b/>
          <w:bCs/>
          <w:sz w:val="22"/>
          <w:szCs w:val="22"/>
        </w:rPr>
        <w:t>Artículo 5:</w:t>
      </w:r>
      <w:r>
        <w:rPr>
          <w:rFonts w:cs="Arial" w:ascii="Arial" w:hAnsi="Arial"/>
          <w:sz w:val="22"/>
          <w:szCs w:val="22"/>
        </w:rPr>
        <w:t xml:space="preserve"> Para el caso de la elección de nuevos sectores, estos deberán ser propuestos por cada consejo, que justificará ante la Dirección de Asuntos Locales y Participación la importancia de la presencia de éstos en el respectivo consejo.</w:t>
      </w:r>
    </w:p>
    <w:p>
      <w:pPr>
        <w:pStyle w:val="Normal"/>
        <w:jc w:val="both"/>
        <w:rPr>
          <w:rFonts w:ascii="Arial" w:hAnsi="Arial" w:cs="Arial"/>
          <w:sz w:val="22"/>
          <w:szCs w:val="22"/>
        </w:rPr>
      </w:pPr>
      <w:r>
        <w:rPr>
          <w:rFonts w:cs="Arial" w:ascii="Arial" w:hAnsi="Arial"/>
          <w:sz w:val="22"/>
          <w:szCs w:val="22"/>
        </w:rPr>
      </w:r>
    </w:p>
    <w:p>
      <w:pPr>
        <w:pStyle w:val="Normal"/>
        <w:jc w:val="both"/>
        <w:rPr>
          <w:rFonts w:ascii="Arial" w:hAnsi="Arial" w:cs="Arial"/>
          <w:sz w:val="22"/>
          <w:szCs w:val="22"/>
        </w:rPr>
      </w:pPr>
      <w:r>
        <w:rPr>
          <w:rFonts w:cs="Arial" w:ascii="Arial" w:hAnsi="Arial"/>
          <w:b/>
          <w:bCs/>
          <w:sz w:val="22"/>
          <w:szCs w:val="22"/>
        </w:rPr>
        <w:t>Parágrafo 1:</w:t>
      </w:r>
      <w:r>
        <w:rPr>
          <w:rFonts w:cs="Arial" w:ascii="Arial" w:hAnsi="Arial"/>
          <w:sz w:val="22"/>
          <w:szCs w:val="22"/>
        </w:rPr>
        <w:t xml:space="preserve"> El respectivo consejo elaborará el perfil y los requisitos de los nuevos actores y deberán estar aprobados mediante un acta ordinaria o extraordinaria del respectivo consejo</w:t>
      </w:r>
    </w:p>
    <w:p>
      <w:pPr>
        <w:pStyle w:val="Normal"/>
        <w:jc w:val="both"/>
        <w:rPr>
          <w:rFonts w:ascii="Arial" w:hAnsi="Arial" w:cs="Arial"/>
          <w:b/>
          <w:b/>
          <w:bCs/>
          <w:sz w:val="22"/>
          <w:szCs w:val="22"/>
        </w:rPr>
      </w:pPr>
      <w:r>
        <w:rPr>
          <w:rFonts w:cs="Arial" w:ascii="Arial" w:hAnsi="Arial"/>
          <w:b/>
          <w:bCs/>
          <w:sz w:val="22"/>
          <w:szCs w:val="22"/>
        </w:rPr>
      </w:r>
    </w:p>
    <w:p>
      <w:pPr>
        <w:pStyle w:val="Normal"/>
        <w:jc w:val="both"/>
        <w:rPr>
          <w:rFonts w:ascii="Arial" w:hAnsi="Arial" w:cs="Arial"/>
          <w:sz w:val="22"/>
          <w:szCs w:val="22"/>
        </w:rPr>
      </w:pPr>
      <w:r>
        <w:rPr>
          <w:rFonts w:cs="Arial" w:ascii="Arial" w:hAnsi="Arial"/>
          <w:b/>
          <w:bCs/>
          <w:sz w:val="22"/>
          <w:szCs w:val="22"/>
        </w:rPr>
        <w:t>Parágrafo 2</w:t>
      </w:r>
      <w:r>
        <w:rPr>
          <w:rFonts w:cs="Arial" w:ascii="Arial" w:hAnsi="Arial"/>
          <w:sz w:val="22"/>
          <w:szCs w:val="22"/>
        </w:rPr>
        <w:t>: Para la elección de nuevos actores se seguirá el mismo procedimiento previsto en los artículos 3 y 4 de este acto administrativo.</w:t>
      </w:r>
    </w:p>
    <w:p>
      <w:pPr>
        <w:pStyle w:val="Normal"/>
        <w:jc w:val="both"/>
        <w:rPr>
          <w:rFonts w:ascii="Arial" w:hAnsi="Arial" w:cs="Arial"/>
          <w:sz w:val="22"/>
          <w:szCs w:val="22"/>
        </w:rPr>
      </w:pPr>
      <w:r>
        <w:rPr>
          <w:rFonts w:cs="Arial" w:ascii="Arial" w:hAnsi="Arial"/>
          <w:sz w:val="22"/>
          <w:szCs w:val="22"/>
        </w:rPr>
      </w:r>
    </w:p>
    <w:p>
      <w:pPr>
        <w:pStyle w:val="Normal"/>
        <w:jc w:val="both"/>
        <w:rPr>
          <w:rFonts w:ascii="Arial" w:hAnsi="Arial" w:cs="Arial"/>
          <w:sz w:val="22"/>
          <w:szCs w:val="22"/>
        </w:rPr>
      </w:pPr>
      <w:r>
        <w:rPr>
          <w:rFonts w:cs="Arial" w:ascii="Arial" w:hAnsi="Arial"/>
          <w:b/>
          <w:bCs/>
          <w:sz w:val="22"/>
          <w:szCs w:val="22"/>
        </w:rPr>
        <w:t>Artículo 6</w:t>
      </w:r>
      <w:r>
        <w:rPr>
          <w:rFonts w:cs="Arial" w:ascii="Arial" w:hAnsi="Arial"/>
          <w:sz w:val="22"/>
          <w:szCs w:val="22"/>
        </w:rPr>
        <w:t>. El consejo informará a la Dirección de Asuntos Locales y Participación de la Secretaría Distrital de Cultura, Recreación y Deporte, dentro de los 5 días siguientes a la elección, los resultados del proceso de votación con sus respectivos soportes, para que esta Secretaría proceda a proyectar el acto administrativo de reconocimiento.</w:t>
      </w:r>
    </w:p>
    <w:p>
      <w:pPr>
        <w:pStyle w:val="Normal"/>
        <w:jc w:val="both"/>
        <w:rPr>
          <w:rFonts w:ascii="Arial" w:hAnsi="Arial" w:cs="Arial"/>
          <w:sz w:val="22"/>
          <w:szCs w:val="22"/>
        </w:rPr>
      </w:pPr>
      <w:r>
        <w:rPr>
          <w:rFonts w:cs="Arial" w:ascii="Arial" w:hAnsi="Arial"/>
          <w:sz w:val="22"/>
          <w:szCs w:val="22"/>
        </w:rPr>
      </w:r>
    </w:p>
    <w:p>
      <w:pPr>
        <w:pStyle w:val="Normal"/>
        <w:jc w:val="both"/>
        <w:rPr>
          <w:rFonts w:ascii="Arial" w:hAnsi="Arial" w:cs="Arial"/>
          <w:sz w:val="22"/>
          <w:szCs w:val="22"/>
        </w:rPr>
      </w:pPr>
      <w:r>
        <w:rPr>
          <w:rFonts w:cs="Arial" w:ascii="Arial" w:hAnsi="Arial"/>
          <w:b/>
          <w:bCs/>
          <w:sz w:val="22"/>
          <w:szCs w:val="22"/>
        </w:rPr>
        <w:t>Artículo 7</w:t>
      </w:r>
      <w:r>
        <w:rPr>
          <w:rFonts w:cs="Arial" w:ascii="Arial" w:hAnsi="Arial"/>
          <w:sz w:val="22"/>
          <w:szCs w:val="22"/>
        </w:rPr>
        <w:t>: Ordenar a la Dirección de Gestión Corporativa de esta entidad, comunicar el contenido del presente acto administrativo a las entidades que ejercen las Secretarías Técnicas de los consejos que hacen parte del Sistema Distrital de Arte, Cultura y Patrimonio, de acuerdo con la información suministrada por la Dirección de Asuntos Locales y Participación.</w:t>
        <w:tab/>
      </w:r>
    </w:p>
    <w:p>
      <w:pPr>
        <w:pStyle w:val="Normal"/>
        <w:jc w:val="both"/>
        <w:rPr>
          <w:rFonts w:ascii="Arial" w:hAnsi="Arial" w:cs="Arial"/>
          <w:sz w:val="22"/>
          <w:szCs w:val="22"/>
        </w:rPr>
      </w:pPr>
      <w:r>
        <w:rPr>
          <w:rFonts w:cs="Arial" w:ascii="Arial" w:hAnsi="Arial"/>
          <w:sz w:val="22"/>
          <w:szCs w:val="22"/>
        </w:rPr>
      </w:r>
    </w:p>
    <w:p>
      <w:pPr>
        <w:pStyle w:val="Normal"/>
        <w:jc w:val="both"/>
        <w:rPr>
          <w:rFonts w:ascii="Arial" w:hAnsi="Arial" w:cs="Arial"/>
          <w:sz w:val="22"/>
          <w:szCs w:val="22"/>
        </w:rPr>
      </w:pPr>
      <w:r>
        <w:rPr>
          <w:rFonts w:cs="Arial" w:ascii="Arial" w:hAnsi="Arial"/>
          <w:b/>
          <w:bCs/>
          <w:sz w:val="22"/>
          <w:szCs w:val="22"/>
        </w:rPr>
        <w:t>Parágrafo</w:t>
      </w:r>
      <w:r>
        <w:rPr>
          <w:rFonts w:cs="Arial" w:ascii="Arial" w:hAnsi="Arial"/>
          <w:sz w:val="22"/>
          <w:szCs w:val="22"/>
        </w:rPr>
        <w:t>: Las entidades que ejercen las Secretarías Técnicas de los consejos que hacen parte del Sistema Distrital de Arte, Cultura y Patrimonio, deberán publicar el contenido de la presente resolución en sus respectivas páginas web, durante el término de cinco (5) días hábiles, al igual que su fijación en las carteleras de sus sedes, con el propósito de divulgar ampliamente la información a que hace alusión este acto administrativo.</w:t>
      </w:r>
    </w:p>
    <w:p>
      <w:pPr>
        <w:pStyle w:val="Normal"/>
        <w:jc w:val="both"/>
        <w:rPr>
          <w:rFonts w:ascii="Arial" w:hAnsi="Arial" w:cs="Arial"/>
          <w:sz w:val="22"/>
          <w:szCs w:val="22"/>
        </w:rPr>
      </w:pPr>
      <w:r>
        <w:rPr>
          <w:rFonts w:cs="Arial" w:ascii="Arial" w:hAnsi="Arial"/>
          <w:sz w:val="22"/>
          <w:szCs w:val="22"/>
        </w:rPr>
      </w:r>
    </w:p>
    <w:p>
      <w:pPr>
        <w:pStyle w:val="Normal"/>
        <w:jc w:val="both"/>
        <w:rPr>
          <w:rFonts w:ascii="Arial" w:hAnsi="Arial" w:cs="Arial"/>
          <w:sz w:val="22"/>
          <w:szCs w:val="22"/>
        </w:rPr>
      </w:pPr>
      <w:r>
        <w:rPr>
          <w:rFonts w:cs="Arial" w:ascii="Arial" w:hAnsi="Arial"/>
          <w:b/>
          <w:bCs/>
          <w:sz w:val="22"/>
          <w:szCs w:val="22"/>
        </w:rPr>
        <w:t>Artículo 8</w:t>
      </w:r>
      <w:r>
        <w:rPr>
          <w:rFonts w:cs="Arial" w:ascii="Arial" w:hAnsi="Arial"/>
          <w:sz w:val="22"/>
          <w:szCs w:val="22"/>
        </w:rPr>
        <w:t>: Ordenar a la Dirección de Asuntos Locales y Participación, publicar el contenido del presente acto administrativo en la página Web de esta Secretaría por el término de cinco (5) días hábiles, al igual que su fijación en la cartelera de la Sede Principal de esta Entidad, con el propósito de divulgar ampliamente- la información a que hace alusión este acto administrativo.</w:t>
      </w:r>
    </w:p>
    <w:p>
      <w:pPr>
        <w:pStyle w:val="Normal"/>
        <w:jc w:val="both"/>
        <w:rPr>
          <w:rFonts w:ascii="Arial" w:hAnsi="Arial" w:cs="Arial"/>
          <w:sz w:val="22"/>
          <w:szCs w:val="22"/>
        </w:rPr>
      </w:pPr>
      <w:r>
        <w:rPr>
          <w:rFonts w:cs="Arial" w:ascii="Arial" w:hAnsi="Arial"/>
          <w:sz w:val="22"/>
          <w:szCs w:val="22"/>
        </w:rPr>
      </w:r>
    </w:p>
    <w:p>
      <w:pPr>
        <w:pStyle w:val="Normal"/>
        <w:jc w:val="both"/>
        <w:rPr>
          <w:rFonts w:ascii="Arial" w:hAnsi="Arial" w:cs="Arial"/>
          <w:sz w:val="22"/>
          <w:szCs w:val="22"/>
        </w:rPr>
      </w:pPr>
      <w:r>
        <w:rPr>
          <w:rFonts w:cs="Arial" w:ascii="Arial" w:hAnsi="Arial"/>
          <w:b/>
          <w:bCs/>
          <w:sz w:val="22"/>
          <w:szCs w:val="22"/>
        </w:rPr>
        <w:t>Artículo 9</w:t>
      </w:r>
      <w:r>
        <w:rPr>
          <w:rFonts w:cs="Arial" w:ascii="Arial" w:hAnsi="Arial"/>
          <w:sz w:val="22"/>
          <w:szCs w:val="22"/>
        </w:rPr>
        <w:t>: La presente resolución, rige a partir de la fecha de su expedición y contra ella no proceden recursos de conformidad con lo dispuesto en el artículo 75 del Código de Procedimiento Administrativo y de lo Contencioso Administrativo.</w:t>
      </w:r>
    </w:p>
    <w:p>
      <w:pPr>
        <w:pStyle w:val="Normal"/>
        <w:jc w:val="both"/>
        <w:rPr>
          <w:rFonts w:ascii="Arial" w:hAnsi="Arial" w:cs="Arial"/>
          <w:sz w:val="22"/>
          <w:szCs w:val="22"/>
        </w:rPr>
      </w:pPr>
      <w:r>
        <w:rPr>
          <w:rFonts w:cs="Arial" w:ascii="Arial" w:hAnsi="Arial"/>
          <w:sz w:val="22"/>
          <w:szCs w:val="22"/>
        </w:rPr>
      </w:r>
    </w:p>
    <w:p>
      <w:pPr>
        <w:pStyle w:val="Normal"/>
        <w:jc w:val="center"/>
        <w:rPr>
          <w:rFonts w:ascii="Arial" w:hAnsi="Arial" w:cs="Arial"/>
          <w:b/>
          <w:b/>
          <w:bCs/>
          <w:sz w:val="22"/>
          <w:szCs w:val="22"/>
        </w:rPr>
      </w:pPr>
      <w:r>
        <w:rPr>
          <w:rFonts w:cs="Arial" w:ascii="Arial" w:hAnsi="Arial"/>
          <w:b/>
          <w:bCs/>
          <w:sz w:val="22"/>
          <w:szCs w:val="22"/>
        </w:rPr>
        <w:t>PUBLIQUESE Y CÚMPLASE</w:t>
      </w:r>
    </w:p>
    <w:p>
      <w:pPr>
        <w:pStyle w:val="Normal"/>
        <w:rPr>
          <w:rFonts w:ascii="Arial" w:hAnsi="Arial" w:cs="Arial"/>
          <w:sz w:val="22"/>
          <w:szCs w:val="22"/>
        </w:rPr>
      </w:pPr>
      <w:r>
        <w:rPr>
          <w:rFonts w:cs="Arial" w:ascii="Arial" w:hAnsi="Arial"/>
          <w:sz w:val="22"/>
          <w:szCs w:val="22"/>
        </w:rPr>
      </w:r>
    </w:p>
    <w:p>
      <w:pPr>
        <w:pStyle w:val="Normal"/>
        <w:rPr>
          <w:rFonts w:ascii="Arial" w:hAnsi="Arial" w:cs="Arial"/>
          <w:sz w:val="22"/>
          <w:szCs w:val="22"/>
        </w:rPr>
      </w:pPr>
      <w:r>
        <w:rPr>
          <w:rFonts w:cs="Arial" w:ascii="Arial" w:hAnsi="Arial"/>
          <w:sz w:val="22"/>
          <w:szCs w:val="22"/>
        </w:rPr>
        <w:t>Dada en Bogotá, D.C., a los XX días de XXXX de 2023.</w:t>
      </w:r>
    </w:p>
    <w:p>
      <w:pPr>
        <w:pStyle w:val="Normal"/>
        <w:rPr>
          <w:rFonts w:ascii="Arial" w:hAnsi="Arial" w:cs="Arial"/>
          <w:sz w:val="22"/>
          <w:szCs w:val="22"/>
        </w:rPr>
      </w:pPr>
      <w:r>
        <w:rPr>
          <w:rFonts w:cs="Arial" w:ascii="Arial" w:hAnsi="Arial"/>
          <w:sz w:val="22"/>
          <w:szCs w:val="22"/>
        </w:rPr>
      </w:r>
    </w:p>
    <w:p>
      <w:pPr>
        <w:pStyle w:val="Normal"/>
        <w:jc w:val="center"/>
        <w:rPr>
          <w:rFonts w:ascii="Arial" w:hAnsi="Arial" w:eastAsia="Arial" w:cs="Arial"/>
          <w:b/>
          <w:b/>
          <w:color w:val="000000"/>
          <w:sz w:val="22"/>
          <w:szCs w:val="22"/>
        </w:rPr>
      </w:pPr>
      <w:r>
        <w:rPr>
          <w:rFonts w:eastAsia="Arial" w:cs="Arial" w:ascii="Arial" w:hAnsi="Arial"/>
          <w:b/>
          <w:color w:val="000000"/>
          <w:sz w:val="22"/>
          <w:szCs w:val="22"/>
        </w:rPr>
      </w:r>
    </w:p>
    <w:p>
      <w:pPr>
        <w:pStyle w:val="Normal"/>
        <w:jc w:val="center"/>
        <w:rPr>
          <w:rFonts w:ascii="Arial" w:hAnsi="Arial" w:eastAsia="Arial" w:cs="Arial"/>
          <w:b/>
          <w:b/>
          <w:color w:val="000000"/>
          <w:sz w:val="22"/>
          <w:szCs w:val="22"/>
        </w:rPr>
      </w:pPr>
      <w:r>
        <w:rPr>
          <w:rFonts w:eastAsia="Arial" w:cs="Arial" w:ascii="Arial" w:hAnsi="Arial"/>
          <w:b/>
          <w:color w:val="000000"/>
          <w:sz w:val="22"/>
          <w:szCs w:val="22"/>
        </w:rPr>
      </w:r>
    </w:p>
    <w:p>
      <w:pPr>
        <w:pStyle w:val="Normal"/>
        <w:jc w:val="center"/>
        <w:rPr>
          <w:rFonts w:ascii="Arial" w:hAnsi="Arial" w:eastAsia="Arial" w:cs="Arial"/>
          <w:b/>
          <w:b/>
          <w:color w:val="000000"/>
          <w:sz w:val="22"/>
          <w:szCs w:val="22"/>
        </w:rPr>
      </w:pPr>
      <w:r>
        <w:rPr>
          <w:rFonts w:eastAsia="Arial" w:cs="Arial" w:ascii="Arial" w:hAnsi="Arial"/>
          <w:b/>
          <w:color w:val="000000"/>
          <w:sz w:val="22"/>
          <w:szCs w:val="22"/>
        </w:rPr>
      </w:r>
    </w:p>
    <w:p>
      <w:pPr>
        <w:pStyle w:val="Normal"/>
        <w:jc w:val="center"/>
        <w:rPr>
          <w:rFonts w:ascii="Arial" w:hAnsi="Arial" w:eastAsia="Arial" w:cs="Arial"/>
          <w:color w:val="000000"/>
          <w:sz w:val="22"/>
          <w:szCs w:val="22"/>
        </w:rPr>
      </w:pPr>
      <w:r>
        <w:rPr>
          <w:rFonts w:eastAsia="Arial" w:cs="Arial" w:ascii="Arial" w:hAnsi="Arial"/>
          <w:b/>
          <w:sz w:val="22"/>
          <w:szCs w:val="22"/>
        </w:rPr>
        <w:t>CATALINA VALENCIA TOBÓN</w:t>
      </w:r>
      <w:r>
        <w:rPr>
          <w:rFonts w:eastAsia="Arial" w:cs="Arial" w:ascii="Arial" w:hAnsi="Arial"/>
          <w:color w:val="000000"/>
          <w:sz w:val="22"/>
          <w:szCs w:val="22"/>
        </w:rPr>
        <w:br/>
      </w:r>
      <w:r>
        <w:rPr>
          <w:rFonts w:eastAsia="Arial" w:cs="Arial" w:ascii="Arial" w:hAnsi="Arial"/>
          <w:b/>
          <w:color w:val="000000"/>
          <w:sz w:val="22"/>
          <w:szCs w:val="22"/>
        </w:rPr>
        <w:t>SecretariA Distrital de Cultura, Recreación y Deporte</w:t>
      </w:r>
    </w:p>
    <w:p>
      <w:pPr>
        <w:pStyle w:val="Normal"/>
        <w:pBdr/>
        <w:jc w:val="center"/>
        <w:rPr>
          <w:rFonts w:ascii="Arial" w:hAnsi="Arial" w:cs="Arial"/>
          <w:sz w:val="22"/>
          <w:szCs w:val="22"/>
        </w:rPr>
      </w:pPr>
      <w:r>
        <w:rPr>
          <w:rFonts w:cs="Arial" w:ascii="Arial" w:hAnsi="Arial"/>
          <w:sz w:val="22"/>
          <w:szCs w:val="22"/>
        </w:rPr>
      </w:r>
    </w:p>
    <w:p>
      <w:pPr>
        <w:pStyle w:val="Normal"/>
        <w:pBdr/>
        <w:jc w:val="center"/>
        <w:rPr>
          <w:rFonts w:ascii="Arial" w:hAnsi="Arial" w:cs="Arial"/>
          <w:sz w:val="22"/>
          <w:szCs w:val="22"/>
        </w:rPr>
      </w:pPr>
      <w:r>
        <w:rPr>
          <w:rFonts w:cs="Arial" w:ascii="Arial" w:hAnsi="Arial"/>
          <w:sz w:val="22"/>
          <w:szCs w:val="22"/>
        </w:rPr>
      </w:r>
    </w:p>
    <w:p>
      <w:pPr>
        <w:pStyle w:val="Normal"/>
        <w:widowControl/>
        <w:suppressAutoHyphens w:val="false"/>
        <w:overflowPunct w:val="false"/>
        <w:rPr>
          <w:rFonts w:ascii="Arial" w:hAnsi="Arial" w:cs="Arial"/>
          <w:color w:val="000000"/>
          <w:sz w:val="16"/>
          <w:szCs w:val="16"/>
          <w:lang w:val="es-CO" w:bidi="ar-SA"/>
        </w:rPr>
      </w:pPr>
      <w:r>
        <w:rPr>
          <w:rFonts w:cs="Arial" w:ascii="Arial" w:hAnsi="Arial"/>
          <w:color w:val="000000"/>
          <w:sz w:val="16"/>
          <w:szCs w:val="16"/>
          <w:lang w:val="es-CO" w:bidi="ar-SA"/>
        </w:rPr>
        <w:t xml:space="preserve">Proyectó: Felipe Calvo Cepeda – Contratista Dirección de Asuntos Locales y Participación </w:t>
      </w:r>
    </w:p>
    <w:p>
      <w:pPr>
        <w:pStyle w:val="Normal"/>
        <w:widowControl/>
        <w:suppressAutoHyphens w:val="false"/>
        <w:overflowPunct w:val="false"/>
        <w:ind w:firstLine="720"/>
        <w:rPr>
          <w:rFonts w:ascii="Arial" w:hAnsi="Arial" w:cs="Arial"/>
          <w:color w:val="000000"/>
          <w:sz w:val="16"/>
          <w:szCs w:val="16"/>
          <w:lang w:val="es-CO" w:bidi="ar-SA"/>
        </w:rPr>
      </w:pPr>
      <w:r>
        <w:rPr>
          <w:rFonts w:cs="Arial" w:ascii="Arial" w:hAnsi="Arial"/>
          <w:color w:val="000000"/>
          <w:sz w:val="16"/>
          <w:szCs w:val="16"/>
          <w:lang w:val="es-CO" w:bidi="ar-SA"/>
        </w:rPr>
        <w:t xml:space="preserve">Christian L. Nadjar Cruz - Contratista Dirección de Asuntos Locales y Participación </w:t>
      </w:r>
    </w:p>
    <w:p>
      <w:pPr>
        <w:pStyle w:val="Normal"/>
        <w:widowControl/>
        <w:suppressAutoHyphens w:val="false"/>
        <w:overflowPunct w:val="false"/>
        <w:rPr>
          <w:rFonts w:ascii="Arial" w:hAnsi="Arial" w:cs="Arial"/>
          <w:color w:val="000000"/>
          <w:sz w:val="16"/>
          <w:szCs w:val="16"/>
          <w:lang w:val="es-CO" w:bidi="ar-SA"/>
        </w:rPr>
      </w:pPr>
      <w:r>
        <w:rPr>
          <w:rFonts w:cs="Arial" w:ascii="Arial" w:hAnsi="Arial"/>
          <w:color w:val="000000"/>
          <w:sz w:val="16"/>
          <w:szCs w:val="16"/>
          <w:lang w:val="es-CO" w:bidi="ar-SA"/>
        </w:rPr>
        <w:t xml:space="preserve">Revisó: </w:t>
        <w:tab/>
        <w:t xml:space="preserve">Ricardo Ojeda- Abogado Oficina Jurídica </w:t>
      </w:r>
    </w:p>
    <w:p>
      <w:pPr>
        <w:pStyle w:val="Normal"/>
        <w:widowControl/>
        <w:suppressAutoHyphens w:val="false"/>
        <w:overflowPunct w:val="false"/>
        <w:rPr>
          <w:rFonts w:ascii="Arial" w:hAnsi="Arial" w:cs="Arial"/>
          <w:color w:val="000000"/>
          <w:sz w:val="16"/>
          <w:szCs w:val="16"/>
          <w:lang w:val="es-CO" w:bidi="ar-SA"/>
        </w:rPr>
      </w:pPr>
      <w:r>
        <w:rPr>
          <w:rFonts w:cs="Arial" w:ascii="Arial" w:hAnsi="Arial"/>
          <w:color w:val="000000"/>
          <w:sz w:val="16"/>
          <w:szCs w:val="16"/>
          <w:lang w:val="es-CO" w:bidi="ar-SA"/>
        </w:rPr>
        <w:t xml:space="preserve">Aprobó: </w:t>
        <w:tab/>
        <w:t xml:space="preserve">Jaime Andrés Tenorio Tascón – Subsecretario – Subsecretario de Gobernanza </w:t>
      </w:r>
    </w:p>
    <w:p>
      <w:pPr>
        <w:pStyle w:val="Normal"/>
        <w:widowControl/>
        <w:suppressAutoHyphens w:val="false"/>
        <w:overflowPunct w:val="false"/>
        <w:ind w:firstLine="720"/>
        <w:rPr>
          <w:rFonts w:ascii="Arial" w:hAnsi="Arial" w:cs="Arial"/>
          <w:color w:val="000000"/>
          <w:sz w:val="16"/>
          <w:szCs w:val="16"/>
          <w:lang w:val="es-CO" w:bidi="ar-SA"/>
        </w:rPr>
      </w:pPr>
      <w:r>
        <w:rPr>
          <w:rFonts w:cs="Arial" w:ascii="Arial" w:hAnsi="Arial"/>
          <w:color w:val="000000"/>
          <w:sz w:val="16"/>
          <w:szCs w:val="16"/>
          <w:lang w:val="es-CO" w:bidi="ar-SA"/>
        </w:rPr>
        <w:t xml:space="preserve">Hugo Alexander Cortes – Director de Asuntos Locales y Participación. </w:t>
      </w:r>
    </w:p>
    <w:p>
      <w:pPr>
        <w:pStyle w:val="Normal"/>
        <w:pBdr/>
        <w:ind w:left="720" w:hanging="0"/>
        <w:jc w:val="both"/>
        <w:rPr>
          <w:rFonts w:ascii="Arial" w:hAnsi="Arial" w:cs="Arial"/>
          <w:color w:val="000000"/>
          <w:sz w:val="16"/>
          <w:szCs w:val="16"/>
          <w:lang w:val="es-CO" w:bidi="ar-SA"/>
        </w:rPr>
      </w:pPr>
      <w:r>
        <w:rPr>
          <w:rFonts w:cs="Arial" w:ascii="Arial" w:hAnsi="Arial"/>
          <w:color w:val="000000"/>
          <w:sz w:val="16"/>
          <w:szCs w:val="16"/>
          <w:lang w:val="es-CO" w:bidi="ar-SA"/>
        </w:rPr>
        <w:t>Margarita María Rúa Atehortúa - Jefe Oficina Jurídica</w:t>
      </w:r>
    </w:p>
    <w:p>
      <w:pPr>
        <w:pStyle w:val="Normal"/>
        <w:pBdr/>
        <w:ind w:left="720" w:hanging="0"/>
        <w:jc w:val="both"/>
        <w:rPr>
          <w:rFonts w:ascii="Arial" w:hAnsi="Arial" w:cs="Arial"/>
          <w:color w:val="000000"/>
          <w:sz w:val="22"/>
          <w:szCs w:val="22"/>
          <w:lang w:val="es-CO" w:bidi="ar-SA"/>
        </w:rPr>
      </w:pPr>
      <w:r>
        <w:rPr>
          <w:rFonts w:cs="Arial" w:ascii="Arial" w:hAnsi="Arial"/>
          <w:color w:val="000000"/>
          <w:sz w:val="22"/>
          <w:szCs w:val="22"/>
          <w:lang w:val="es-CO" w:bidi="ar-SA"/>
        </w:rPr>
      </w:r>
    </w:p>
    <w:p>
      <w:pPr>
        <w:pStyle w:val="Normal"/>
        <w:pBdr/>
        <w:ind w:left="720" w:hanging="0"/>
        <w:jc w:val="both"/>
        <w:rPr>
          <w:rFonts w:ascii="Arial" w:hAnsi="Arial" w:cs="Arial"/>
          <w:color w:val="000000"/>
          <w:sz w:val="22"/>
          <w:szCs w:val="22"/>
          <w:lang w:val="es-CO" w:bidi="ar-SA"/>
        </w:rPr>
      </w:pPr>
      <w:r>
        <w:rPr>
          <w:rFonts w:cs="Arial" w:ascii="Arial" w:hAnsi="Arial"/>
          <w:color w:val="000000"/>
          <w:sz w:val="22"/>
          <w:szCs w:val="22"/>
          <w:lang w:val="es-CO" w:bidi="ar-SA"/>
        </w:rPr>
      </w:r>
    </w:p>
    <w:p>
      <w:pPr>
        <w:pStyle w:val="Normal"/>
        <w:pBdr/>
        <w:ind w:left="720" w:hanging="0"/>
        <w:jc w:val="both"/>
        <w:rPr>
          <w:rFonts w:ascii="Arial" w:hAnsi="Arial" w:cs="Arial"/>
          <w:color w:val="000000"/>
          <w:sz w:val="22"/>
          <w:szCs w:val="22"/>
          <w:lang w:val="es-CO" w:bidi="ar-SA"/>
        </w:rPr>
      </w:pPr>
      <w:r>
        <w:rPr>
          <w:rFonts w:cs="Arial" w:ascii="Arial" w:hAnsi="Arial"/>
          <w:color w:val="000000"/>
          <w:sz w:val="22"/>
          <w:szCs w:val="22"/>
          <w:lang w:val="es-CO" w:bidi="ar-SA"/>
        </w:rPr>
      </w:r>
    </w:p>
    <w:p>
      <w:pPr>
        <w:pStyle w:val="Normal"/>
        <w:pBdr/>
        <w:ind w:left="720" w:hanging="0"/>
        <w:jc w:val="both"/>
        <w:rPr>
          <w:rFonts w:ascii="Arial" w:hAnsi="Arial" w:cs="Arial"/>
          <w:color w:val="000000"/>
          <w:sz w:val="22"/>
          <w:szCs w:val="22"/>
          <w:lang w:val="es-CO" w:bidi="ar-SA"/>
        </w:rPr>
      </w:pPr>
      <w:r>
        <w:rPr>
          <w:rFonts w:cs="Arial" w:ascii="Arial" w:hAnsi="Arial"/>
          <w:color w:val="000000"/>
          <w:sz w:val="22"/>
          <w:szCs w:val="22"/>
          <w:lang w:val="es-CO" w:bidi="ar-SA"/>
        </w:rPr>
      </w:r>
    </w:p>
    <w:p>
      <w:pPr>
        <w:pStyle w:val="Normal"/>
        <w:pBdr/>
        <w:ind w:left="720" w:hanging="0"/>
        <w:jc w:val="both"/>
        <w:rPr>
          <w:rFonts w:ascii="Arial" w:hAnsi="Arial" w:cs="Arial"/>
          <w:color w:val="000000"/>
          <w:sz w:val="22"/>
          <w:szCs w:val="22"/>
          <w:lang w:val="es-CO" w:bidi="ar-SA"/>
        </w:rPr>
      </w:pPr>
      <w:r>
        <w:rPr>
          <w:rFonts w:cs="Arial" w:ascii="Arial" w:hAnsi="Arial"/>
          <w:color w:val="000000"/>
          <w:sz w:val="22"/>
          <w:szCs w:val="22"/>
          <w:lang w:val="es-CO" w:bidi="ar-SA"/>
        </w:rPr>
      </w:r>
    </w:p>
    <w:p>
      <w:pPr>
        <w:pStyle w:val="Normal"/>
        <w:pBdr/>
        <w:ind w:left="720" w:hanging="0"/>
        <w:jc w:val="both"/>
        <w:rPr>
          <w:rFonts w:ascii="Arial" w:hAnsi="Arial" w:cs="Arial"/>
          <w:color w:val="000000"/>
          <w:sz w:val="22"/>
          <w:szCs w:val="22"/>
          <w:lang w:val="es-CO" w:bidi="ar-SA"/>
        </w:rPr>
      </w:pPr>
      <w:r>
        <w:rPr>
          <w:rFonts w:cs="Arial" w:ascii="Arial" w:hAnsi="Arial"/>
          <w:color w:val="000000"/>
          <w:sz w:val="22"/>
          <w:szCs w:val="22"/>
          <w:lang w:val="es-CO" w:bidi="ar-SA"/>
        </w:rPr>
      </w:r>
    </w:p>
    <w:p>
      <w:pPr>
        <w:pStyle w:val="Normal"/>
        <w:pBdr/>
        <w:ind w:left="720" w:hanging="0"/>
        <w:jc w:val="both"/>
        <w:rPr>
          <w:rFonts w:ascii="Arial" w:hAnsi="Arial" w:cs="Arial"/>
          <w:color w:val="000000"/>
          <w:sz w:val="22"/>
          <w:szCs w:val="22"/>
          <w:lang w:val="es-CO" w:bidi="ar-SA"/>
        </w:rPr>
      </w:pPr>
      <w:r>
        <w:rPr>
          <w:rFonts w:cs="Arial" w:ascii="Arial" w:hAnsi="Arial"/>
          <w:color w:val="000000"/>
          <w:sz w:val="22"/>
          <w:szCs w:val="22"/>
          <w:lang w:val="es-CO" w:bidi="ar-SA"/>
        </w:rPr>
      </w:r>
    </w:p>
    <w:p>
      <w:pPr>
        <w:pStyle w:val="Normal"/>
        <w:pBdr/>
        <w:ind w:left="720" w:hanging="0"/>
        <w:jc w:val="both"/>
        <w:rPr>
          <w:rFonts w:ascii="Arial" w:hAnsi="Arial" w:cs="Arial"/>
          <w:color w:val="000000"/>
          <w:sz w:val="22"/>
          <w:szCs w:val="22"/>
          <w:lang w:val="es-CO" w:bidi="ar-SA"/>
        </w:rPr>
      </w:pPr>
      <w:r>
        <w:rPr>
          <w:rFonts w:cs="Arial" w:ascii="Arial" w:hAnsi="Arial"/>
          <w:color w:val="000000"/>
          <w:sz w:val="22"/>
          <w:szCs w:val="22"/>
          <w:lang w:val="es-CO" w:bidi="ar-SA"/>
        </w:rPr>
      </w:r>
    </w:p>
    <w:p>
      <w:pPr>
        <w:pStyle w:val="Normal"/>
        <w:pBdr/>
        <w:ind w:left="720" w:hanging="0"/>
        <w:jc w:val="both"/>
        <w:rPr>
          <w:rFonts w:ascii="Arial" w:hAnsi="Arial" w:cs="Arial"/>
          <w:color w:val="000000"/>
          <w:sz w:val="22"/>
          <w:szCs w:val="22"/>
          <w:lang w:val="es-CO" w:bidi="ar-SA"/>
        </w:rPr>
      </w:pPr>
      <w:r>
        <w:rPr>
          <w:rFonts w:cs="Arial" w:ascii="Arial" w:hAnsi="Arial"/>
          <w:color w:val="000000"/>
          <w:sz w:val="22"/>
          <w:szCs w:val="22"/>
          <w:lang w:val="es-CO" w:bidi="ar-SA"/>
        </w:rPr>
      </w:r>
    </w:p>
    <w:p>
      <w:pPr>
        <w:pStyle w:val="Normal"/>
        <w:pBdr/>
        <w:ind w:left="720" w:hanging="0"/>
        <w:jc w:val="both"/>
        <w:rPr>
          <w:rFonts w:ascii="Arial" w:hAnsi="Arial" w:cs="Arial"/>
          <w:color w:val="000000"/>
          <w:sz w:val="22"/>
          <w:szCs w:val="22"/>
          <w:lang w:val="es-CO" w:bidi="ar-SA"/>
        </w:rPr>
      </w:pPr>
      <w:r>
        <w:rPr>
          <w:rFonts w:cs="Arial" w:ascii="Arial" w:hAnsi="Arial"/>
          <w:color w:val="000000"/>
          <w:sz w:val="22"/>
          <w:szCs w:val="22"/>
          <w:lang w:val="es-CO" w:bidi="ar-SA"/>
        </w:rPr>
      </w:r>
    </w:p>
    <w:p>
      <w:pPr>
        <w:pStyle w:val="Normal"/>
        <w:pBdr/>
        <w:ind w:left="720" w:hanging="0"/>
        <w:jc w:val="both"/>
        <w:rPr>
          <w:rFonts w:ascii="Arial" w:hAnsi="Arial" w:cs="Arial"/>
          <w:color w:val="000000"/>
          <w:sz w:val="22"/>
          <w:szCs w:val="22"/>
          <w:lang w:val="es-CO" w:bidi="ar-SA"/>
        </w:rPr>
      </w:pPr>
      <w:r>
        <w:rPr>
          <w:rFonts w:cs="Arial" w:ascii="Arial" w:hAnsi="Arial"/>
          <w:color w:val="000000"/>
          <w:sz w:val="22"/>
          <w:szCs w:val="22"/>
          <w:lang w:val="es-CO" w:bidi="ar-SA"/>
        </w:rPr>
      </w:r>
    </w:p>
    <w:p>
      <w:pPr>
        <w:pStyle w:val="Normal"/>
        <w:pBdr/>
        <w:ind w:left="720" w:hanging="0"/>
        <w:jc w:val="both"/>
        <w:rPr>
          <w:rFonts w:ascii="Arial" w:hAnsi="Arial" w:cs="Arial"/>
          <w:color w:val="000000"/>
          <w:sz w:val="22"/>
          <w:szCs w:val="22"/>
          <w:lang w:val="es-CO" w:bidi="ar-SA"/>
        </w:rPr>
      </w:pPr>
      <w:r>
        <w:rPr>
          <w:rFonts w:cs="Arial" w:ascii="Arial" w:hAnsi="Arial"/>
          <w:color w:val="000000"/>
          <w:sz w:val="22"/>
          <w:szCs w:val="22"/>
          <w:lang w:val="es-CO" w:bidi="ar-SA"/>
        </w:rPr>
      </w:r>
    </w:p>
    <w:p>
      <w:pPr>
        <w:pStyle w:val="Normal"/>
        <w:pBdr/>
        <w:ind w:left="720" w:hanging="0"/>
        <w:jc w:val="both"/>
        <w:rPr>
          <w:rFonts w:ascii="Arial" w:hAnsi="Arial" w:cs="Arial"/>
          <w:color w:val="000000"/>
          <w:sz w:val="22"/>
          <w:szCs w:val="22"/>
          <w:lang w:val="es-CO" w:bidi="ar-SA"/>
        </w:rPr>
      </w:pPr>
      <w:r>
        <w:rPr>
          <w:rFonts w:cs="Arial" w:ascii="Arial" w:hAnsi="Arial"/>
          <w:color w:val="000000"/>
          <w:sz w:val="22"/>
          <w:szCs w:val="22"/>
          <w:lang w:val="es-CO" w:bidi="ar-SA"/>
        </w:rPr>
      </w:r>
    </w:p>
    <w:p>
      <w:pPr>
        <w:pStyle w:val="Normal"/>
        <w:pBdr/>
        <w:ind w:left="720" w:hanging="0"/>
        <w:jc w:val="both"/>
        <w:rPr>
          <w:rFonts w:ascii="Arial" w:hAnsi="Arial" w:cs="Arial"/>
          <w:color w:val="000000"/>
          <w:sz w:val="22"/>
          <w:szCs w:val="22"/>
          <w:lang w:val="es-CO" w:bidi="ar-SA"/>
        </w:rPr>
      </w:pPr>
      <w:r>
        <w:rPr>
          <w:rFonts w:cs="Arial" w:ascii="Arial" w:hAnsi="Arial"/>
          <w:color w:val="000000"/>
          <w:sz w:val="22"/>
          <w:szCs w:val="22"/>
          <w:lang w:val="es-CO" w:bidi="ar-SA"/>
        </w:rPr>
      </w:r>
    </w:p>
    <w:p>
      <w:pPr>
        <w:pStyle w:val="Normal"/>
        <w:pBdr/>
        <w:ind w:left="720" w:hanging="0"/>
        <w:jc w:val="both"/>
        <w:rPr/>
      </w:pPr>
      <w:r>
        <w:rPr/>
      </w:r>
    </w:p>
    <w:sectPr>
      <w:headerReference w:type="default" r:id="rId6"/>
      <w:footerReference w:type="default" r:id="rId7"/>
      <w:type w:val="nextPage"/>
      <w:pgSz w:w="12240" w:h="15840"/>
      <w:pgMar w:left="1701" w:right="1701" w:header="680" w:top="2571" w:footer="851" w:bottom="2291" w:gutter="0"/>
      <w:pgNumType w:start="1" w:fmt="decimal"/>
      <w:formProt w:val="false"/>
      <w:textDirection w:val="lrTb"/>
      <w:docGrid w:type="default" w:linePitch="100" w:charSpace="8192"/>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Arial">
    <w:charset w:val="00"/>
    <w:family w:val="roman"/>
    <w:pitch w:val="variable"/>
  </w:font>
  <w:font w:name="Tahoma">
    <w:charset w:val="00"/>
    <w:family w:val="roman"/>
    <w:pitch w:val="variable"/>
  </w:font>
  <w:font w:name="Wingdings">
    <w:charset w:val="00"/>
    <w:family w:val="roman"/>
    <w:pitch w:val="variable"/>
  </w:font>
  <w:font w:name="Segoe UI">
    <w:charset w:val="00"/>
    <w:family w:val="roman"/>
    <w:pitch w:val="variable"/>
  </w:font>
  <w:font w:name="Liberation Sans">
    <w:altName w:val="Arial"/>
    <w:charset w:val="00"/>
    <w:family w:val="roman"/>
    <w:pitch w:val="variable"/>
  </w:font>
  <w:font w:name="Georgia">
    <w:charset w:val="00"/>
    <w:family w:val="roman"/>
    <w:pitch w:val="variable"/>
  </w:font>
  <w:font w:name="Calibri Light">
    <w:charset w:val="00"/>
    <w:family w:val="roman"/>
    <w:pitch w:val="variable"/>
  </w:font>
  <w:font w:name="Code3of9">
    <w:charset w:val="00"/>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Normal"/>
      <w:pBdr/>
      <w:tabs>
        <w:tab w:val="clear" w:pos="720"/>
        <w:tab w:val="left" w:pos="1820" w:leader="none"/>
        <w:tab w:val="center" w:pos="4987" w:leader="none"/>
        <w:tab w:val="right" w:pos="9974" w:leader="none"/>
      </w:tabs>
      <w:rPr/>
    </w:pPr>
    <w:r>
      <w:rPr/>
      <w:tab/>
    </w:r>
  </w:p>
  <w:tbl>
    <w:tblPr>
      <w:tblStyle w:val="a0"/>
      <w:tblW w:w="8838" w:type="dxa"/>
      <w:jc w:val="left"/>
      <w:tblInd w:w="0" w:type="dxa"/>
      <w:tblCellMar>
        <w:top w:w="0" w:type="dxa"/>
        <w:left w:w="108" w:type="dxa"/>
        <w:bottom w:w="0" w:type="dxa"/>
        <w:right w:w="108" w:type="dxa"/>
      </w:tblCellMar>
      <w:tblLook w:firstRow="0" w:noVBand="1" w:lastRow="0" w:firstColumn="0" w:lastColumn="0" w:noHBand="0" w:val="0400"/>
    </w:tblPr>
    <w:tblGrid>
      <w:gridCol w:w="3519"/>
      <w:gridCol w:w="1632"/>
      <w:gridCol w:w="2515"/>
      <w:gridCol w:w="1171"/>
    </w:tblGrid>
    <w:tr>
      <w:trPr/>
      <w:tc>
        <w:tcPr>
          <w:tcW w:w="3519" w:type="dxa"/>
          <w:tcBorders/>
          <w:shd w:fill="auto" w:val="clear"/>
        </w:tcPr>
        <w:p>
          <w:pPr>
            <w:pStyle w:val="Normal"/>
            <w:tabs>
              <w:tab w:val="clear" w:pos="720"/>
              <w:tab w:val="center" w:pos="4419" w:leader="none"/>
              <w:tab w:val="right" w:pos="8838" w:leader="none"/>
            </w:tabs>
            <w:rPr>
              <w:rFonts w:ascii="Arial" w:hAnsi="Arial" w:eastAsia="Arial" w:cs="Arial"/>
              <w:color w:val="000000"/>
              <w:sz w:val="18"/>
              <w:szCs w:val="18"/>
            </w:rPr>
          </w:pPr>
          <w:r>
            <w:rPr>
              <w:rFonts w:eastAsia="Arial" w:cs="Arial" w:ascii="Arial" w:hAnsi="Arial"/>
              <w:color w:val="000000"/>
              <w:sz w:val="18"/>
              <w:szCs w:val="18"/>
            </w:rPr>
            <w:t>Carrera 8ª No. 9 - 83 Centro</w:t>
          </w:r>
        </w:p>
        <w:p>
          <w:pPr>
            <w:pStyle w:val="Normal"/>
            <w:tabs>
              <w:tab w:val="clear" w:pos="720"/>
              <w:tab w:val="center" w:pos="4419" w:leader="none"/>
              <w:tab w:val="right" w:pos="8838" w:leader="none"/>
            </w:tabs>
            <w:rPr>
              <w:rFonts w:ascii="Arial" w:hAnsi="Arial" w:eastAsia="Arial" w:cs="Arial"/>
              <w:color w:val="000000"/>
              <w:sz w:val="18"/>
              <w:szCs w:val="18"/>
            </w:rPr>
          </w:pPr>
          <w:r>
            <w:rPr>
              <w:rFonts w:eastAsia="Arial" w:cs="Arial" w:ascii="Arial" w:hAnsi="Arial"/>
              <w:color w:val="000000"/>
              <w:sz w:val="18"/>
              <w:szCs w:val="18"/>
            </w:rPr>
            <w:t>Tel. 3274850</w:t>
          </w:r>
        </w:p>
        <w:p>
          <w:pPr>
            <w:pStyle w:val="Normal"/>
            <w:tabs>
              <w:tab w:val="clear" w:pos="720"/>
              <w:tab w:val="center" w:pos="4419" w:leader="none"/>
              <w:tab w:val="right" w:pos="8838" w:leader="none"/>
            </w:tabs>
            <w:rPr>
              <w:rFonts w:ascii="Arial" w:hAnsi="Arial" w:eastAsia="Arial" w:cs="Arial"/>
              <w:color w:val="000000"/>
              <w:sz w:val="18"/>
              <w:szCs w:val="18"/>
            </w:rPr>
          </w:pPr>
          <w:r>
            <w:rPr>
              <w:rFonts w:eastAsia="Arial" w:cs="Arial" w:ascii="Arial" w:hAnsi="Arial"/>
              <w:color w:val="000000"/>
              <w:sz w:val="18"/>
              <w:szCs w:val="18"/>
            </w:rPr>
            <w:t>Código Postal: 111711</w:t>
          </w:r>
        </w:p>
        <w:p>
          <w:pPr>
            <w:pStyle w:val="Normal"/>
            <w:tabs>
              <w:tab w:val="clear" w:pos="720"/>
              <w:tab w:val="center" w:pos="4419" w:leader="none"/>
              <w:tab w:val="right" w:pos="8838" w:leader="none"/>
            </w:tabs>
            <w:rPr/>
          </w:pPr>
          <w:hyperlink r:id="rId1">
            <w:r>
              <w:rPr>
                <w:rStyle w:val="Style"/>
                <w:rFonts w:eastAsia="Arial" w:cs="Arial" w:ascii="Arial" w:hAnsi="Arial"/>
                <w:color w:val="0563C1"/>
                <w:sz w:val="18"/>
                <w:szCs w:val="18"/>
                <w:u w:val="single"/>
              </w:rPr>
              <w:t>www.culturarecreacionydeporte.gov.co</w:t>
            </w:r>
          </w:hyperlink>
        </w:p>
        <w:p>
          <w:pPr>
            <w:pStyle w:val="Normal"/>
            <w:tabs>
              <w:tab w:val="clear" w:pos="720"/>
              <w:tab w:val="center" w:pos="4419" w:leader="none"/>
              <w:tab w:val="right" w:pos="8838" w:leader="none"/>
            </w:tabs>
            <w:rPr>
              <w:color w:val="000000"/>
            </w:rPr>
          </w:pPr>
          <w:r>
            <w:rPr>
              <w:rFonts w:eastAsia="Arial" w:cs="Arial" w:ascii="Arial" w:hAnsi="Arial"/>
              <w:color w:val="000000"/>
              <w:sz w:val="18"/>
              <w:szCs w:val="18"/>
            </w:rPr>
            <w:t>Información: Línea 195</w:t>
          </w:r>
        </w:p>
      </w:tc>
      <w:tc>
        <w:tcPr>
          <w:tcW w:w="1632" w:type="dxa"/>
          <w:tcBorders/>
          <w:shd w:fill="auto" w:val="clear"/>
        </w:tcPr>
        <w:p>
          <w:pPr>
            <w:pStyle w:val="Normal"/>
            <w:rPr>
              <w:sz w:val="18"/>
              <w:szCs w:val="18"/>
            </w:rPr>
          </w:pPr>
          <w:r>
            <w:rPr>
              <w:sz w:val="18"/>
              <w:szCs w:val="18"/>
            </w:rPr>
          </w:r>
        </w:p>
        <w:p>
          <w:pPr>
            <w:pStyle w:val="Normal"/>
            <w:rPr>
              <w:sz w:val="18"/>
              <w:szCs w:val="18"/>
            </w:rPr>
          </w:pPr>
          <w:r>
            <w:rPr>
              <w:sz w:val="18"/>
              <w:szCs w:val="18"/>
            </w:rPr>
          </w:r>
        </w:p>
      </w:tc>
      <w:tc>
        <w:tcPr>
          <w:tcW w:w="2515" w:type="dxa"/>
          <w:tcBorders/>
          <w:shd w:fill="auto" w:val="clear"/>
        </w:tcPr>
        <w:p>
          <w:pPr>
            <w:pStyle w:val="Normal"/>
            <w:jc w:val="center"/>
            <w:rPr/>
          </w:pPr>
          <w:r>
            <w:rPr>
              <w:rFonts w:eastAsia="Arial" w:cs="Arial" w:ascii="Arial" w:hAnsi="Arial"/>
              <w:color w:val="000000"/>
              <w:sz w:val="14"/>
              <w:szCs w:val="14"/>
            </w:rPr>
            <w:t xml:space="preserve">Página </w:t>
          </w:r>
          <w:r>
            <w:rPr>
              <w:rFonts w:eastAsia="Arial" w:cs="Arial" w:ascii="Arial" w:hAnsi="Arial"/>
              <w:b/>
              <w:color w:val="000000"/>
              <w:sz w:val="14"/>
              <w:szCs w:val="14"/>
            </w:rPr>
            <w:fldChar w:fldCharType="begin"/>
          </w:r>
          <w:r>
            <w:rPr>
              <w:sz w:val="14"/>
              <w:b/>
              <w:szCs w:val="14"/>
              <w:rFonts w:eastAsia="Arial" w:cs="Arial" w:ascii="Arial" w:hAnsi="Arial"/>
            </w:rPr>
            <w:instrText> PAGE </w:instrText>
          </w:r>
          <w:r>
            <w:rPr>
              <w:sz w:val="14"/>
              <w:b/>
              <w:szCs w:val="14"/>
              <w:rFonts w:eastAsia="Arial" w:cs="Arial" w:ascii="Arial" w:hAnsi="Arial"/>
            </w:rPr>
            <w:fldChar w:fldCharType="separate"/>
          </w:r>
          <w:r>
            <w:rPr>
              <w:sz w:val="14"/>
              <w:b/>
              <w:szCs w:val="14"/>
              <w:rFonts w:eastAsia="Arial" w:cs="Arial" w:ascii="Arial" w:hAnsi="Arial"/>
            </w:rPr>
            <w:t>6</w:t>
          </w:r>
          <w:r>
            <w:rPr>
              <w:sz w:val="14"/>
              <w:b/>
              <w:szCs w:val="14"/>
              <w:rFonts w:eastAsia="Arial" w:cs="Arial" w:ascii="Arial" w:hAnsi="Arial"/>
            </w:rPr>
            <w:fldChar w:fldCharType="end"/>
          </w:r>
          <w:r>
            <w:rPr>
              <w:rFonts w:eastAsia="Arial" w:cs="Arial" w:ascii="Arial" w:hAnsi="Arial"/>
              <w:color w:val="000000"/>
              <w:sz w:val="14"/>
              <w:szCs w:val="14"/>
            </w:rPr>
            <w:t xml:space="preserve"> de </w:t>
          </w:r>
          <w:r>
            <w:rPr>
              <w:rFonts w:eastAsia="Arial" w:cs="Arial" w:ascii="Arial" w:hAnsi="Arial"/>
              <w:b/>
              <w:color w:val="000000"/>
              <w:sz w:val="14"/>
              <w:szCs w:val="14"/>
            </w:rPr>
            <w:fldChar w:fldCharType="begin"/>
          </w:r>
          <w:r>
            <w:rPr>
              <w:sz w:val="14"/>
              <w:b/>
              <w:szCs w:val="14"/>
              <w:rFonts w:eastAsia="Arial" w:cs="Arial" w:ascii="Arial" w:hAnsi="Arial"/>
            </w:rPr>
            <w:instrText> NUMPAGES </w:instrText>
          </w:r>
          <w:r>
            <w:rPr>
              <w:sz w:val="14"/>
              <w:b/>
              <w:szCs w:val="14"/>
              <w:rFonts w:eastAsia="Arial" w:cs="Arial" w:ascii="Arial" w:hAnsi="Arial"/>
            </w:rPr>
            <w:fldChar w:fldCharType="separate"/>
          </w:r>
          <w:r>
            <w:rPr>
              <w:sz w:val="14"/>
              <w:b/>
              <w:szCs w:val="14"/>
              <w:rFonts w:eastAsia="Arial" w:cs="Arial" w:ascii="Arial" w:hAnsi="Arial"/>
            </w:rPr>
            <w:t>6</w:t>
          </w:r>
          <w:r>
            <w:rPr>
              <w:sz w:val="14"/>
              <w:b/>
              <w:szCs w:val="14"/>
              <w:rFonts w:eastAsia="Arial" w:cs="Arial" w:ascii="Arial" w:hAnsi="Arial"/>
            </w:rPr>
            <w:fldChar w:fldCharType="end"/>
          </w:r>
        </w:p>
        <w:p>
          <w:pPr>
            <w:pStyle w:val="Normal"/>
            <w:jc w:val="center"/>
            <w:rPr>
              <w:sz w:val="14"/>
              <w:szCs w:val="14"/>
            </w:rPr>
          </w:pPr>
          <w:r>
            <w:rPr>
              <w:rFonts w:eastAsia="Arial" w:cs="Arial" w:ascii="Arial" w:hAnsi="Arial"/>
              <w:sz w:val="14"/>
              <w:szCs w:val="14"/>
            </w:rPr>
            <w:t>DES-MN-01-FR-05. v1.08/10/2021</w:t>
          </w:r>
        </w:p>
      </w:tc>
      <w:tc>
        <w:tcPr>
          <w:tcW w:w="1171" w:type="dxa"/>
          <w:tcBorders/>
          <w:shd w:fill="auto" w:val="clear"/>
        </w:tcPr>
        <w:p>
          <w:pPr>
            <w:pStyle w:val="Normal"/>
            <w:tabs>
              <w:tab w:val="clear" w:pos="720"/>
              <w:tab w:val="center" w:pos="4419" w:leader="none"/>
              <w:tab w:val="right" w:pos="8838" w:leader="none"/>
            </w:tabs>
            <w:jc w:val="center"/>
            <w:rPr>
              <w:color w:val="000000"/>
            </w:rPr>
          </w:pPr>
          <w:r>
            <w:rPr/>
            <w:drawing>
              <wp:inline distT="0" distB="0" distL="0" distR="0">
                <wp:extent cx="492760" cy="588645"/>
                <wp:effectExtent l="0" t="0" r="0" b="0"/>
                <wp:docPr id="2" name="image2.png"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2.png" descr=""/>
                        <pic:cNvPicPr>
                          <a:picLocks noChangeAspect="1" noChangeArrowheads="1"/>
                        </pic:cNvPicPr>
                      </pic:nvPicPr>
                      <pic:blipFill>
                        <a:blip r:embed="rId2"/>
                        <a:stretch>
                          <a:fillRect/>
                        </a:stretch>
                      </pic:blipFill>
                      <pic:spPr bwMode="auto">
                        <a:xfrm>
                          <a:off x="0" y="0"/>
                          <a:ext cx="492760" cy="588645"/>
                        </a:xfrm>
                        <a:prstGeom prst="rect">
                          <a:avLst/>
                        </a:prstGeom>
                      </pic:spPr>
                    </pic:pic>
                  </a:graphicData>
                </a:graphic>
              </wp:inline>
            </w:drawing>
          </w:r>
        </w:p>
        <w:p>
          <w:pPr>
            <w:pStyle w:val="Normal"/>
            <w:tabs>
              <w:tab w:val="clear" w:pos="720"/>
              <w:tab w:val="center" w:pos="4419" w:leader="none"/>
              <w:tab w:val="right" w:pos="8838" w:leader="none"/>
            </w:tabs>
            <w:jc w:val="center"/>
            <w:rPr>
              <w:color w:val="000000"/>
              <w:sz w:val="12"/>
              <w:szCs w:val="12"/>
            </w:rPr>
          </w:pPr>
          <w:r>
            <w:rPr>
              <w:color w:val="000000"/>
              <w:sz w:val="12"/>
              <w:szCs w:val="12"/>
            </w:rPr>
            <w:t>ALCALDÍA MAYOR</w:t>
          </w:r>
        </w:p>
        <w:p>
          <w:pPr>
            <w:pStyle w:val="Normal"/>
            <w:tabs>
              <w:tab w:val="clear" w:pos="720"/>
              <w:tab w:val="center" w:pos="4419" w:leader="none"/>
              <w:tab w:val="right" w:pos="8838" w:leader="none"/>
            </w:tabs>
            <w:jc w:val="center"/>
            <w:rPr>
              <w:color w:val="000000"/>
            </w:rPr>
          </w:pPr>
          <w:r>
            <w:rPr>
              <w:color w:val="000000"/>
              <w:sz w:val="12"/>
              <w:szCs w:val="12"/>
            </w:rPr>
            <w:t>DE BOGOTÁ D.C.</w:t>
          </w:r>
        </w:p>
      </w:tc>
    </w:tr>
  </w:tbl>
  <w:p>
    <w:pPr>
      <w:pStyle w:val="Normal"/>
      <w:pBdr/>
      <w:tabs>
        <w:tab w:val="clear" w:pos="720"/>
        <w:tab w:val="left" w:pos="1820" w:leader="none"/>
        <w:tab w:val="center" w:pos="4987" w:leader="none"/>
        <w:tab w:val="right" w:pos="9974" w:leader="none"/>
      </w:tabs>
      <w:rPr>
        <w:sz w:val="6"/>
        <w:szCs w:val="6"/>
      </w:rPr>
    </w:pPr>
    <w:r>
      <w:rPr>
        <w:sz w:val="6"/>
        <w:szCs w:val="6"/>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Normal"/>
      <w:pBdr/>
      <w:spacing w:lineRule="auto" w:line="276"/>
      <w:rPr/>
    </w:pPr>
    <w:r>
      <w:rPr/>
    </w:r>
  </w:p>
  <w:tbl>
    <w:tblPr>
      <w:tblStyle w:val="a"/>
      <w:tblW w:w="8838" w:type="dxa"/>
      <w:jc w:val="left"/>
      <w:tblInd w:w="0" w:type="dxa"/>
      <w:tblCellMar>
        <w:top w:w="0" w:type="dxa"/>
        <w:left w:w="108" w:type="dxa"/>
        <w:bottom w:w="0" w:type="dxa"/>
        <w:right w:w="108" w:type="dxa"/>
      </w:tblCellMar>
      <w:tblLook w:firstRow="0" w:noVBand="1" w:lastRow="0" w:firstColumn="0" w:lastColumn="0" w:noHBand="0" w:val="0400"/>
    </w:tblPr>
    <w:tblGrid>
      <w:gridCol w:w="1556"/>
      <w:gridCol w:w="4825"/>
      <w:gridCol w:w="2457"/>
    </w:tblGrid>
    <w:tr>
      <w:trPr/>
      <w:tc>
        <w:tcPr>
          <w:tcW w:w="1556" w:type="dxa"/>
          <w:tcBorders/>
          <w:shd w:fill="auto" w:val="clear"/>
          <w:vAlign w:val="center"/>
        </w:tcPr>
        <w:p>
          <w:pPr>
            <w:pStyle w:val="Normal"/>
            <w:pBdr/>
            <w:tabs>
              <w:tab w:val="clear" w:pos="720"/>
              <w:tab w:val="center" w:pos="4419" w:leader="none"/>
              <w:tab w:val="right" w:pos="8838" w:leader="none"/>
            </w:tabs>
            <w:jc w:val="center"/>
            <w:rPr>
              <w:color w:val="000000"/>
            </w:rPr>
          </w:pPr>
          <w:r>
            <w:rPr>
              <w:color w:val="000000"/>
            </w:rPr>
          </w:r>
        </w:p>
      </w:tc>
      <w:tc>
        <w:tcPr>
          <w:tcW w:w="4825" w:type="dxa"/>
          <w:tcBorders/>
          <w:shd w:fill="auto" w:val="clear"/>
          <w:vAlign w:val="center"/>
        </w:tcPr>
        <w:p>
          <w:pPr>
            <w:pStyle w:val="Normal"/>
            <w:pBdr/>
            <w:tabs>
              <w:tab w:val="clear" w:pos="720"/>
              <w:tab w:val="center" w:pos="4419" w:leader="none"/>
              <w:tab w:val="right" w:pos="8838" w:leader="none"/>
            </w:tabs>
            <w:jc w:val="right"/>
            <w:rPr>
              <w:color w:val="000000"/>
            </w:rPr>
          </w:pPr>
          <w:r>
            <w:rPr/>
            <w:drawing>
              <wp:inline distT="0" distB="0" distL="0" distR="0">
                <wp:extent cx="2677160" cy="615315"/>
                <wp:effectExtent l="0" t="0" r="0" b="0"/>
                <wp:docPr id="1" name="image1.png"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descr=""/>
                        <pic:cNvPicPr>
                          <a:picLocks noChangeAspect="1" noChangeArrowheads="1"/>
                        </pic:cNvPicPr>
                      </pic:nvPicPr>
                      <pic:blipFill>
                        <a:blip r:embed="rId1"/>
                        <a:stretch>
                          <a:fillRect/>
                        </a:stretch>
                      </pic:blipFill>
                      <pic:spPr bwMode="auto">
                        <a:xfrm>
                          <a:off x="0" y="0"/>
                          <a:ext cx="2677160" cy="615315"/>
                        </a:xfrm>
                        <a:prstGeom prst="rect">
                          <a:avLst/>
                        </a:prstGeom>
                      </pic:spPr>
                    </pic:pic>
                  </a:graphicData>
                </a:graphic>
              </wp:inline>
            </w:drawing>
          </w:r>
        </w:p>
      </w:tc>
      <w:tc>
        <w:tcPr>
          <w:tcW w:w="2457" w:type="dxa"/>
          <w:tcBorders/>
          <w:shd w:fill="auto" w:val="clear"/>
          <w:vAlign w:val="center"/>
        </w:tcPr>
        <w:p>
          <w:pPr>
            <w:pStyle w:val="Normal"/>
            <w:tabs>
              <w:tab w:val="clear" w:pos="720"/>
              <w:tab w:val="left" w:pos="1485" w:leader="none"/>
            </w:tabs>
            <w:jc w:val="right"/>
            <w:rPr>
              <w:rFonts w:ascii="Code3of9" w:hAnsi="Code3of9" w:eastAsia="Code3of9" w:cs="Code3of9"/>
              <w:sz w:val="22"/>
              <w:szCs w:val="22"/>
            </w:rPr>
          </w:pPr>
          <w:r>
            <w:rPr>
              <w:rFonts w:eastAsia="Code3of9" w:cs="Code3of9" w:ascii="Code3of9" w:hAnsi="Code3of9"/>
              <w:sz w:val="22"/>
              <w:szCs w:val="22"/>
            </w:rPr>
            <w:t>*RAD_S*</w:t>
          </w:r>
        </w:p>
        <w:p>
          <w:pPr>
            <w:pStyle w:val="Normal"/>
            <w:tabs>
              <w:tab w:val="clear" w:pos="720"/>
              <w:tab w:val="left" w:pos="1485" w:leader="none"/>
            </w:tabs>
            <w:jc w:val="right"/>
            <w:rPr>
              <w:rFonts w:ascii="Arial" w:hAnsi="Arial" w:eastAsia="Arial" w:cs="Arial"/>
              <w:b/>
              <w:b/>
            </w:rPr>
          </w:pPr>
          <w:r>
            <w:rPr>
              <w:rFonts w:eastAsia="Arial" w:cs="Arial" w:ascii="Arial" w:hAnsi="Arial"/>
              <w:sz w:val="14"/>
              <w:szCs w:val="14"/>
            </w:rPr>
            <w:t xml:space="preserve">Radicado: </w:t>
          </w:r>
          <w:r>
            <w:rPr>
              <w:rFonts w:eastAsia="Arial" w:cs="Arial" w:ascii="Arial" w:hAnsi="Arial"/>
              <w:b/>
            </w:rPr>
            <w:t>RAD_S</w:t>
          </w:r>
        </w:p>
        <w:p>
          <w:pPr>
            <w:pStyle w:val="Normal"/>
            <w:tabs>
              <w:tab w:val="clear" w:pos="720"/>
              <w:tab w:val="left" w:pos="1485" w:leader="none"/>
            </w:tabs>
            <w:jc w:val="right"/>
            <w:rPr>
              <w:rFonts w:ascii="Arial" w:hAnsi="Arial" w:eastAsia="Arial" w:cs="Arial"/>
            </w:rPr>
          </w:pPr>
          <w:r>
            <w:rPr>
              <w:rFonts w:eastAsia="Arial" w:cs="Arial" w:ascii="Arial" w:hAnsi="Arial"/>
              <w:sz w:val="14"/>
              <w:szCs w:val="14"/>
            </w:rPr>
            <w:t>Fecha:</w:t>
          </w:r>
          <w:r>
            <w:rPr>
              <w:rFonts w:eastAsia="Arial" w:cs="Arial" w:ascii="Arial" w:hAnsi="Arial"/>
            </w:rPr>
            <w:t xml:space="preserve"> </w:t>
          </w:r>
          <w:r>
            <w:rPr>
              <w:rFonts w:eastAsia="Arial" w:cs="Arial" w:ascii="Arial" w:hAnsi="Arial"/>
              <w:sz w:val="18"/>
              <w:szCs w:val="18"/>
            </w:rPr>
            <w:t>F_RAD_S</w:t>
          </w:r>
        </w:p>
      </w:tc>
    </w:tr>
  </w:tbl>
  <w:p>
    <w:pPr>
      <w:pStyle w:val="Normal"/>
      <w:pBdr/>
      <w:tabs>
        <w:tab w:val="clear" w:pos="720"/>
        <w:tab w:val="center" w:pos="4252" w:leader="none"/>
        <w:tab w:val="right" w:pos="8504" w:leader="none"/>
      </w:tabs>
      <w:jc w:val="center"/>
      <w:rPr/>
    </w:pPr>
    <w:r>
      <w:rPr/>
    </w:r>
  </w:p>
  <w:p>
    <w:pPr>
      <w:pStyle w:val="Normal"/>
      <w:pBdr/>
      <w:tabs>
        <w:tab w:val="clear" w:pos="720"/>
        <w:tab w:val="center" w:pos="4252" w:leader="none"/>
        <w:tab w:val="right" w:pos="8504" w:leader="none"/>
      </w:tabs>
      <w:jc w:val="center"/>
      <w:rPr>
        <w:rFonts w:ascii="Arial" w:hAnsi="Arial" w:eastAsia="Arial" w:cs="Arial"/>
        <w:b/>
        <w:b/>
        <w:sz w:val="24"/>
        <w:szCs w:val="24"/>
      </w:rPr>
    </w:pPr>
    <w:r>
      <w:rPr>
        <w:rFonts w:eastAsia="Arial" w:cs="Arial" w:ascii="Arial" w:hAnsi="Arial"/>
        <w:b/>
        <w:sz w:val="24"/>
        <w:szCs w:val="24"/>
      </w:rPr>
    </w:r>
  </w:p>
  <w:p>
    <w:pPr>
      <w:pStyle w:val="Normal"/>
      <w:pBdr/>
      <w:tabs>
        <w:tab w:val="clear" w:pos="720"/>
        <w:tab w:val="center" w:pos="4252" w:leader="none"/>
        <w:tab w:val="right" w:pos="8504" w:leader="none"/>
      </w:tabs>
      <w:jc w:val="center"/>
      <w:rPr>
        <w:rFonts w:ascii="Arial" w:hAnsi="Arial" w:eastAsia="Arial" w:cs="Arial"/>
        <w:b/>
        <w:b/>
        <w:sz w:val="28"/>
        <w:szCs w:val="28"/>
      </w:rPr>
    </w:pPr>
    <w:r>
      <w:rPr>
        <w:rFonts w:eastAsia="Arial" w:cs="Arial" w:ascii="Arial" w:hAnsi="Arial"/>
        <w:b/>
        <w:sz w:val="28"/>
        <w:szCs w:val="28"/>
      </w:rPr>
      <w:t>RESOLUCIÓN No</w:t>
    </w:r>
    <w:r>
      <w:rPr>
        <w:rFonts w:eastAsia="Arial" w:cs="Arial" w:ascii="Arial" w:hAnsi="Arial"/>
        <w:b/>
        <w:sz w:val="32"/>
        <w:szCs w:val="32"/>
      </w:rPr>
      <w:t xml:space="preserve">. ### </w:t>
    </w:r>
    <w:r>
      <w:rPr>
        <w:rFonts w:eastAsia="Arial" w:cs="Arial" w:ascii="Arial" w:hAnsi="Arial"/>
        <w:b/>
        <w:sz w:val="28"/>
        <w:szCs w:val="28"/>
      </w:rPr>
      <w:t>de 2023</w:t>
    </w:r>
  </w:p>
  <w:p>
    <w:pPr>
      <w:pStyle w:val="Normal"/>
      <w:tabs>
        <w:tab w:val="clear" w:pos="720"/>
        <w:tab w:val="left" w:pos="1485" w:leader="none"/>
      </w:tabs>
      <w:jc w:val="right"/>
      <w:rPr>
        <w:rFonts w:ascii="Arial" w:hAnsi="Arial" w:eastAsia="Arial" w:cs="Arial"/>
        <w:sz w:val="18"/>
        <w:szCs w:val="18"/>
      </w:rPr>
    </w:pPr>
    <w:r>
      <w:rPr>
        <w:rFonts w:eastAsia="Arial" w:cs="Arial" w:ascii="Arial" w:hAnsi="Arial"/>
        <w:sz w:val="18"/>
        <w:szCs w:val="18"/>
      </w:rPr>
    </w:r>
  </w:p>
  <w:p>
    <w:pPr>
      <w:pStyle w:val="Normal"/>
      <w:tabs>
        <w:tab w:val="clear" w:pos="720"/>
        <w:tab w:val="left" w:pos="1485" w:leader="none"/>
      </w:tabs>
      <w:jc w:val="right"/>
      <w:rPr>
        <w:rFonts w:ascii="Arial" w:hAnsi="Arial" w:eastAsia="Arial" w:cs="Arial"/>
        <w:sz w:val="18"/>
        <w:szCs w:val="18"/>
      </w:rPr>
    </w:pPr>
    <w:r>
      <w:rPr>
        <w:rFonts w:eastAsia="Arial" w:cs="Arial" w:ascii="Arial" w:hAnsi="Arial"/>
        <w:sz w:val="18"/>
        <w:szCs w:val="18"/>
      </w:rPr>
    </w:r>
  </w:p>
</w:hdr>
</file>

<file path=word/settings.xml><?xml version="1.0" encoding="utf-8"?>
<w:settings xmlns:w="http://schemas.openxmlformats.org/wordprocessingml/2006/main">
  <w:zoom w:percent="100"/>
  <w:displayBackgroundShape/>
  <w:defaultTabStop w:val="720"/>
  <w:autoHyphenation w:val="fals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hyphenationZone w:val="425"/>
  <w:themeFontLang w:val="es-CO"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Times New Roman" w:cs="Times New Roman"/>
        <w:color w:val="00000A"/>
        <w:lang w:val="es-ES" w:eastAsia="es-CO" w:bidi="ar-SA"/>
      </w:rPr>
    </w:rPrDefault>
    <w:pPrDefault>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de79bf"/>
    <w:pPr>
      <w:widowControl w:val="false"/>
      <w:suppressAutoHyphens w:val="true"/>
      <w:overflowPunct w:val="true"/>
      <w:bidi w:val="0"/>
      <w:spacing w:before="0" w:after="0"/>
      <w:jc w:val="left"/>
    </w:pPr>
    <w:rPr>
      <w:rFonts w:ascii="Times New Roman" w:hAnsi="Times New Roman" w:eastAsia="Times New Roman" w:cs="Times New Roman"/>
      <w:color w:val="00000A"/>
      <w:kern w:val="0"/>
      <w:sz w:val="20"/>
      <w:szCs w:val="20"/>
      <w:lang w:bidi="es-ES" w:val="es-ES" w:eastAsia="es-CO"/>
    </w:rPr>
  </w:style>
  <w:style w:type="paragraph" w:styleId="Ttulo1">
    <w:name w:val="Heading 1"/>
    <w:basedOn w:val="Normal"/>
    <w:next w:val="Normal"/>
    <w:uiPriority w:val="9"/>
    <w:qFormat/>
    <w:pPr>
      <w:keepNext w:val="true"/>
      <w:spacing w:lineRule="auto" w:line="480"/>
      <w:jc w:val="center"/>
      <w:outlineLvl w:val="0"/>
    </w:pPr>
    <w:rPr>
      <w:rFonts w:ascii="Arial" w:hAnsi="Arial" w:eastAsia="Arial" w:cs="Arial"/>
      <w:b/>
      <w:bCs/>
      <w:sz w:val="24"/>
      <w:szCs w:val="24"/>
    </w:rPr>
  </w:style>
  <w:style w:type="paragraph" w:styleId="Ttulo2">
    <w:name w:val="Heading 2"/>
    <w:basedOn w:val="Normal"/>
    <w:next w:val="Normal"/>
    <w:uiPriority w:val="9"/>
    <w:semiHidden/>
    <w:unhideWhenUsed/>
    <w:qFormat/>
    <w:pPr>
      <w:keepNext w:val="true"/>
      <w:outlineLvl w:val="1"/>
    </w:pPr>
    <w:rPr>
      <w:rFonts w:ascii="Arial" w:hAnsi="Arial" w:eastAsia="Arial" w:cs="Arial"/>
      <w:b/>
      <w:bCs/>
      <w:sz w:val="24"/>
      <w:szCs w:val="24"/>
    </w:rPr>
  </w:style>
  <w:style w:type="paragraph" w:styleId="Ttulo3">
    <w:name w:val="Heading 3"/>
    <w:basedOn w:val="Normal"/>
    <w:next w:val="Normal"/>
    <w:uiPriority w:val="9"/>
    <w:semiHidden/>
    <w:unhideWhenUsed/>
    <w:qFormat/>
    <w:pPr>
      <w:keepNext w:val="true"/>
      <w:jc w:val="both"/>
      <w:outlineLvl w:val="2"/>
    </w:pPr>
    <w:rPr>
      <w:rFonts w:ascii="Arial" w:hAnsi="Arial" w:eastAsia="Arial" w:cs="Arial"/>
      <w:sz w:val="24"/>
      <w:szCs w:val="24"/>
    </w:rPr>
  </w:style>
  <w:style w:type="paragraph" w:styleId="Ttulo4">
    <w:name w:val="Heading 4"/>
    <w:basedOn w:val="Normal"/>
    <w:next w:val="Normal"/>
    <w:uiPriority w:val="9"/>
    <w:semiHidden/>
    <w:unhideWhenUsed/>
    <w:qFormat/>
    <w:pPr>
      <w:keepNext w:val="true"/>
      <w:jc w:val="both"/>
      <w:outlineLvl w:val="3"/>
    </w:pPr>
    <w:rPr>
      <w:rFonts w:ascii="Arial" w:hAnsi="Arial" w:eastAsia="Arial" w:cs="Arial"/>
      <w:b/>
      <w:bCs/>
      <w:sz w:val="24"/>
      <w:szCs w:val="24"/>
    </w:rPr>
  </w:style>
  <w:style w:type="paragraph" w:styleId="Ttulo5">
    <w:name w:val="Heading 5"/>
    <w:basedOn w:val="Normal"/>
    <w:next w:val="Normal"/>
    <w:uiPriority w:val="9"/>
    <w:semiHidden/>
    <w:unhideWhenUsed/>
    <w:qFormat/>
    <w:pPr>
      <w:keepNext w:val="true"/>
      <w:jc w:val="both"/>
      <w:outlineLvl w:val="4"/>
    </w:pPr>
    <w:rPr>
      <w:b/>
      <w:bCs/>
      <w:sz w:val="12"/>
      <w:szCs w:val="12"/>
    </w:rPr>
  </w:style>
  <w:style w:type="paragraph" w:styleId="Ttulo6">
    <w:name w:val="Heading 6"/>
    <w:basedOn w:val="Normal"/>
    <w:next w:val="Normal"/>
    <w:uiPriority w:val="9"/>
    <w:semiHidden/>
    <w:unhideWhenUsed/>
    <w:qFormat/>
    <w:pPr>
      <w:keepNext w:val="true"/>
      <w:outlineLvl w:val="5"/>
    </w:pPr>
    <w:rPr>
      <w:rFonts w:ascii="Tahoma" w:hAnsi="Tahoma" w:eastAsia="Tahoma" w:cs="Tahoma"/>
      <w:sz w:val="24"/>
      <w:szCs w:val="24"/>
    </w:rPr>
  </w:style>
  <w:style w:type="character" w:styleId="DefaultParagraphFont" w:default="1">
    <w:name w:val="Default Paragraph Font"/>
    <w:uiPriority w:val="1"/>
    <w:semiHidden/>
    <w:unhideWhenUsed/>
    <w:qFormat/>
    <w:rPr/>
  </w:style>
  <w:style w:type="character" w:styleId="WW8Num1z0" w:customStyle="1">
    <w:name w:val="WW8Num1z0"/>
    <w:qFormat/>
    <w:rPr/>
  </w:style>
  <w:style w:type="character" w:styleId="WW8Num1z1" w:customStyle="1">
    <w:name w:val="WW8Num1z1"/>
    <w:qFormat/>
    <w:rPr/>
  </w:style>
  <w:style w:type="character" w:styleId="WW8Num1z2" w:customStyle="1">
    <w:name w:val="WW8Num1z2"/>
    <w:qFormat/>
    <w:rPr/>
  </w:style>
  <w:style w:type="character" w:styleId="WW8Num1z3" w:customStyle="1">
    <w:name w:val="WW8Num1z3"/>
    <w:qFormat/>
    <w:rPr/>
  </w:style>
  <w:style w:type="character" w:styleId="WW8Num1z4" w:customStyle="1">
    <w:name w:val="WW8Num1z4"/>
    <w:qFormat/>
    <w:rPr/>
  </w:style>
  <w:style w:type="character" w:styleId="WW8Num1z5" w:customStyle="1">
    <w:name w:val="WW8Num1z5"/>
    <w:qFormat/>
    <w:rPr/>
  </w:style>
  <w:style w:type="character" w:styleId="WW8Num1z6" w:customStyle="1">
    <w:name w:val="WW8Num1z6"/>
    <w:qFormat/>
    <w:rPr/>
  </w:style>
  <w:style w:type="character" w:styleId="WW8Num1z7" w:customStyle="1">
    <w:name w:val="WW8Num1z7"/>
    <w:qFormat/>
    <w:rPr/>
  </w:style>
  <w:style w:type="character" w:styleId="WW8Num1z8" w:customStyle="1">
    <w:name w:val="WW8Num1z8"/>
    <w:qFormat/>
    <w:rPr/>
  </w:style>
  <w:style w:type="character" w:styleId="AbsatzStandardschriftart" w:customStyle="1">
    <w:name w:val="Absatz-Standardschriftart"/>
    <w:qFormat/>
    <w:rPr/>
  </w:style>
  <w:style w:type="character" w:styleId="WWAbsatzStandardschriftart" w:customStyle="1">
    <w:name w:val="WW-Absatz-Standardschriftart"/>
    <w:qFormat/>
    <w:rPr/>
  </w:style>
  <w:style w:type="character" w:styleId="WWAbsatzStandardschriftart1" w:customStyle="1">
    <w:name w:val="WW-Absatz-Standardschriftart1"/>
    <w:qFormat/>
    <w:rPr/>
  </w:style>
  <w:style w:type="character" w:styleId="WWAbsatzStandardschriftart11" w:customStyle="1">
    <w:name w:val="WW-Absatz-Standardschriftart11"/>
    <w:qFormat/>
    <w:rPr/>
  </w:style>
  <w:style w:type="character" w:styleId="WWAbsatzStandardschriftart111" w:customStyle="1">
    <w:name w:val="WW-Absatz-Standardschriftart111"/>
    <w:qFormat/>
    <w:rPr/>
  </w:style>
  <w:style w:type="character" w:styleId="WWAbsatzStandardschriftart1111" w:customStyle="1">
    <w:name w:val="WW-Absatz-Standardschriftart1111"/>
    <w:qFormat/>
    <w:rPr/>
  </w:style>
  <w:style w:type="character" w:styleId="WWAbsatzStandardschriftart11111" w:customStyle="1">
    <w:name w:val="WW-Absatz-Standardschriftart11111"/>
    <w:qFormat/>
    <w:rPr/>
  </w:style>
  <w:style w:type="character" w:styleId="WWAbsatzStandardschriftart111111" w:customStyle="1">
    <w:name w:val="WW-Absatz-Standardschriftart111111"/>
    <w:qFormat/>
    <w:rPr/>
  </w:style>
  <w:style w:type="character" w:styleId="WWAbsatzStandardschriftart1111111" w:customStyle="1">
    <w:name w:val="WW-Absatz-Standardschriftart1111111"/>
    <w:qFormat/>
    <w:rPr/>
  </w:style>
  <w:style w:type="character" w:styleId="WWAbsatzStandardschriftart11111111" w:customStyle="1">
    <w:name w:val="WW-Absatz-Standardschriftart11111111"/>
    <w:qFormat/>
    <w:rPr/>
  </w:style>
  <w:style w:type="character" w:styleId="WWAbsatzStandardschriftart111111111" w:customStyle="1">
    <w:name w:val="WW-Absatz-Standardschriftart111111111"/>
    <w:qFormat/>
    <w:rPr/>
  </w:style>
  <w:style w:type="character" w:styleId="WWAbsatzStandardschriftart1111111111" w:customStyle="1">
    <w:name w:val="WW-Absatz-Standardschriftart1111111111"/>
    <w:qFormat/>
    <w:rPr/>
  </w:style>
  <w:style w:type="character" w:styleId="WWAbsatzStandardschriftart11111111111" w:customStyle="1">
    <w:name w:val="WW-Absatz-Standardschriftart11111111111"/>
    <w:qFormat/>
    <w:rPr/>
  </w:style>
  <w:style w:type="character" w:styleId="WWAbsatzStandardschriftart111111111111" w:customStyle="1">
    <w:name w:val="WW-Absatz-Standardschriftart111111111111"/>
    <w:qFormat/>
    <w:rPr/>
  </w:style>
  <w:style w:type="character" w:styleId="WWAbsatzStandardschriftart1111111111111" w:customStyle="1">
    <w:name w:val="WW-Absatz-Standardschriftart1111111111111"/>
    <w:qFormat/>
    <w:rPr/>
  </w:style>
  <w:style w:type="character" w:styleId="WWAbsatzStandardschriftart11111111111111" w:customStyle="1">
    <w:name w:val="WW-Absatz-Standardschriftart11111111111111"/>
    <w:qFormat/>
    <w:rPr/>
  </w:style>
  <w:style w:type="character" w:styleId="RTFNum31" w:customStyle="1">
    <w:name w:val="RTF_Num 3 1"/>
    <w:qFormat/>
    <w:rPr>
      <w:rFonts w:ascii="Wingdings" w:hAnsi="Wingdings" w:eastAsia="Wingdings" w:cs="Wingdings"/>
      <w:b w:val="false"/>
      <w:bCs w:val="false"/>
      <w:i w:val="false"/>
      <w:iCs w:val="false"/>
      <w:sz w:val="24"/>
      <w:szCs w:val="24"/>
    </w:rPr>
  </w:style>
  <w:style w:type="character" w:styleId="InternetLink" w:customStyle="1">
    <w:name w:val="Internet Link"/>
    <w:qFormat/>
    <w:rPr>
      <w:color w:val="0000FF"/>
      <w:u w:val="single"/>
    </w:rPr>
  </w:style>
  <w:style w:type="character" w:styleId="Estilo61" w:customStyle="1">
    <w:name w:val="estilo61"/>
    <w:qFormat/>
    <w:rPr>
      <w:b/>
      <w:bCs/>
      <w:color w:val="FF0000"/>
    </w:rPr>
  </w:style>
  <w:style w:type="character" w:styleId="Smbolosdenumeracin" w:customStyle="1">
    <w:name w:val="Símbolos de numeración"/>
    <w:qFormat/>
    <w:rPr/>
  </w:style>
  <w:style w:type="character" w:styleId="TextodegloboCar" w:customStyle="1">
    <w:name w:val="Texto de globo Car"/>
    <w:qFormat/>
    <w:rPr>
      <w:rFonts w:ascii="Segoe UI" w:hAnsi="Segoe UI" w:cs="Segoe UI"/>
      <w:sz w:val="18"/>
      <w:szCs w:val="18"/>
      <w:lang w:val="es-ES" w:bidi="es-ES"/>
    </w:rPr>
  </w:style>
  <w:style w:type="character" w:styleId="PiedepginaCar" w:customStyle="1">
    <w:name w:val="Pie de página Car"/>
    <w:qFormat/>
    <w:rPr>
      <w:lang w:val="es-ES" w:bidi="es-ES"/>
    </w:rPr>
  </w:style>
  <w:style w:type="character" w:styleId="EnlacedeInternet">
    <w:name w:val="Enlace de Internet"/>
    <w:basedOn w:val="DefaultParagraphFont"/>
    <w:uiPriority w:val="99"/>
    <w:unhideWhenUsed/>
    <w:rsid w:val="0064020c"/>
    <w:rPr>
      <w:color w:val="0563C1" w:themeColor="hyperlink"/>
      <w:u w:val="single"/>
    </w:rPr>
  </w:style>
  <w:style w:type="character" w:styleId="Appletabspan" w:customStyle="1">
    <w:name w:val="apple-tab-span"/>
    <w:basedOn w:val="DefaultParagraphFont"/>
    <w:qFormat/>
    <w:rsid w:val="00bb13b3"/>
    <w:rPr/>
  </w:style>
  <w:style w:type="character" w:styleId="Noleidos" w:customStyle="1">
    <w:name w:val="no_leidos"/>
    <w:basedOn w:val="DefaultParagraphFont"/>
    <w:qFormat/>
    <w:rsid w:val="00fb2732"/>
    <w:rPr/>
  </w:style>
  <w:style w:type="character" w:styleId="TextocomentarioCar" w:customStyle="1">
    <w:name w:val="Texto comentario Car"/>
    <w:basedOn w:val="DefaultParagraphFont"/>
    <w:link w:val="Textocomentario"/>
    <w:uiPriority w:val="99"/>
    <w:semiHidden/>
    <w:qFormat/>
    <w:rPr>
      <w:lang w:bidi="es-ES"/>
    </w:rPr>
  </w:style>
  <w:style w:type="character" w:styleId="Annotationreference">
    <w:name w:val="annotation reference"/>
    <w:basedOn w:val="DefaultParagraphFont"/>
    <w:uiPriority w:val="99"/>
    <w:semiHidden/>
    <w:unhideWhenUsed/>
    <w:qFormat/>
    <w:rPr>
      <w:sz w:val="16"/>
      <w:szCs w:val="16"/>
    </w:rPr>
  </w:style>
  <w:style w:type="paragraph" w:styleId="Ttulo" w:customStyle="1">
    <w:name w:val="Título"/>
    <w:basedOn w:val="Normal"/>
    <w:next w:val="Cuerpodetexto"/>
    <w:qFormat/>
    <w:pPr>
      <w:keepNext w:val="true"/>
      <w:spacing w:before="240" w:after="120"/>
    </w:pPr>
    <w:rPr>
      <w:rFonts w:ascii="Liberation Sans" w:hAnsi="Liberation Sans" w:eastAsia="Microsoft YaHei" w:cs="Mangal"/>
      <w:sz w:val="28"/>
      <w:szCs w:val="28"/>
    </w:rPr>
  </w:style>
  <w:style w:type="paragraph" w:styleId="Cuerpodetexto">
    <w:name w:val="Body Text"/>
    <w:basedOn w:val="Normal"/>
    <w:pPr>
      <w:spacing w:before="0" w:after="120"/>
    </w:pPr>
    <w:rPr/>
  </w:style>
  <w:style w:type="paragraph" w:styleId="Lista">
    <w:name w:val="List"/>
    <w:basedOn w:val="Cuerpodetexto"/>
    <w:pPr/>
    <w:rPr>
      <w:rFonts w:cs="Tahoma"/>
    </w:rPr>
  </w:style>
  <w:style w:type="paragraph" w:styleId="Leyenda">
    <w:name w:val="Caption"/>
    <w:basedOn w:val="Normal"/>
    <w:qFormat/>
    <w:pPr>
      <w:suppressLineNumbers/>
      <w:spacing w:before="120" w:after="120"/>
    </w:pPr>
    <w:rPr>
      <w:rFonts w:cs="Lucida Sans"/>
      <w:i/>
      <w:iCs/>
      <w:sz w:val="24"/>
      <w:szCs w:val="24"/>
    </w:rPr>
  </w:style>
  <w:style w:type="paragraph" w:styleId="Ndice" w:customStyle="1">
    <w:name w:val="Índice"/>
    <w:basedOn w:val="Normal"/>
    <w:qFormat/>
    <w:pPr>
      <w:suppressLineNumbers/>
    </w:pPr>
    <w:rPr>
      <w:rFonts w:cs="Tahoma"/>
    </w:rPr>
  </w:style>
  <w:style w:type="paragraph" w:styleId="Titular">
    <w:name w:val="Title"/>
    <w:basedOn w:val="Normal"/>
    <w:next w:val="Normal"/>
    <w:uiPriority w:val="10"/>
    <w:qFormat/>
    <w:pPr>
      <w:keepNext w:val="true"/>
      <w:keepLines/>
      <w:spacing w:before="480" w:after="120"/>
    </w:pPr>
    <w:rPr>
      <w:b/>
      <w:sz w:val="72"/>
      <w:szCs w:val="72"/>
    </w:rPr>
  </w:style>
  <w:style w:type="paragraph" w:styleId="Caption">
    <w:name w:val="caption"/>
    <w:basedOn w:val="Normal"/>
    <w:qFormat/>
    <w:pPr>
      <w:suppressLineNumbers/>
      <w:spacing w:before="120" w:after="120"/>
    </w:pPr>
    <w:rPr>
      <w:rFonts w:cs="Tahoma"/>
      <w:i/>
      <w:iCs/>
    </w:rPr>
  </w:style>
  <w:style w:type="paragraph" w:styleId="Cabeceraypie">
    <w:name w:val="Cabecera y pie"/>
    <w:basedOn w:val="Normal"/>
    <w:qFormat/>
    <w:pPr/>
    <w:rPr/>
  </w:style>
  <w:style w:type="paragraph" w:styleId="Cabecera">
    <w:name w:val="Header"/>
    <w:basedOn w:val="Normal"/>
    <w:qFormat/>
    <w:pPr>
      <w:tabs>
        <w:tab w:val="clear" w:pos="720"/>
        <w:tab w:val="center" w:pos="4252" w:leader="none"/>
        <w:tab w:val="right" w:pos="8504" w:leader="none"/>
      </w:tabs>
    </w:pPr>
    <w:rPr/>
  </w:style>
  <w:style w:type="paragraph" w:styleId="Piedepgina">
    <w:name w:val="Footer"/>
    <w:basedOn w:val="Normal"/>
    <w:qFormat/>
    <w:pPr>
      <w:suppressLineNumbers/>
      <w:tabs>
        <w:tab w:val="clear" w:pos="720"/>
        <w:tab w:val="center" w:pos="4987" w:leader="none"/>
        <w:tab w:val="right" w:pos="9974" w:leader="none"/>
      </w:tabs>
    </w:pPr>
    <w:rPr/>
  </w:style>
  <w:style w:type="paragraph" w:styleId="DocumentMap">
    <w:name w:val="Document Map"/>
    <w:basedOn w:val="Normal"/>
    <w:qFormat/>
    <w:pPr/>
    <w:rPr>
      <w:rFonts w:ascii="Tahoma" w:hAnsi="Tahoma" w:eastAsia="Tahoma" w:cs="Tahoma"/>
    </w:rPr>
  </w:style>
  <w:style w:type="paragraph" w:styleId="BalloonText">
    <w:name w:val="Balloon Text"/>
    <w:basedOn w:val="Normal"/>
    <w:qFormat/>
    <w:pPr/>
    <w:rPr>
      <w:rFonts w:ascii="Segoe UI" w:hAnsi="Segoe UI" w:cs="Segoe UI"/>
      <w:sz w:val="18"/>
      <w:szCs w:val="18"/>
    </w:rPr>
  </w:style>
  <w:style w:type="paragraph" w:styleId="Estilo4" w:customStyle="1">
    <w:name w:val="estilo4"/>
    <w:basedOn w:val="Normal"/>
    <w:qFormat/>
    <w:pPr>
      <w:spacing w:before="100" w:after="100"/>
    </w:pPr>
    <w:rPr>
      <w:color w:val="000000"/>
      <w:sz w:val="24"/>
      <w:szCs w:val="24"/>
    </w:rPr>
  </w:style>
  <w:style w:type="paragraph" w:styleId="Estilo5" w:customStyle="1">
    <w:name w:val="estilo5"/>
    <w:basedOn w:val="Normal"/>
    <w:qFormat/>
    <w:pPr>
      <w:spacing w:before="100" w:after="100"/>
    </w:pPr>
    <w:rPr>
      <w:sz w:val="24"/>
      <w:szCs w:val="24"/>
    </w:rPr>
  </w:style>
  <w:style w:type="paragraph" w:styleId="NormalWeb">
    <w:name w:val="Normal (Web)"/>
    <w:basedOn w:val="Normal"/>
    <w:uiPriority w:val="99"/>
    <w:qFormat/>
    <w:pPr>
      <w:spacing w:before="100" w:after="100"/>
    </w:pPr>
    <w:rPr>
      <w:sz w:val="24"/>
      <w:szCs w:val="24"/>
    </w:rPr>
  </w:style>
  <w:style w:type="paragraph" w:styleId="Contenidodelatabla" w:customStyle="1">
    <w:name w:val="Contenido de la tabla"/>
    <w:basedOn w:val="Normal"/>
    <w:qFormat/>
    <w:pPr>
      <w:suppressLineNumbers/>
    </w:pPr>
    <w:rPr/>
  </w:style>
  <w:style w:type="paragraph" w:styleId="Ttulodelatabla" w:customStyle="1">
    <w:name w:val="Título de la tabla"/>
    <w:basedOn w:val="Contenidodelatabla"/>
    <w:qFormat/>
    <w:pPr>
      <w:jc w:val="center"/>
    </w:pPr>
    <w:rPr>
      <w:b/>
      <w:bCs/>
    </w:rPr>
  </w:style>
  <w:style w:type="paragraph" w:styleId="Textoindependiente21" w:customStyle="1">
    <w:name w:val="Texto independiente 21"/>
    <w:basedOn w:val="Normal"/>
    <w:qFormat/>
    <w:pPr/>
    <w:rPr>
      <w:rFonts w:ascii="Arial" w:hAnsi="Arial" w:cs="Arial"/>
      <w:sz w:val="16"/>
      <w:szCs w:val="16"/>
    </w:rPr>
  </w:style>
  <w:style w:type="paragraph" w:styleId="LONormal" w:customStyle="1">
    <w:name w:val="LO-Normal"/>
    <w:qFormat/>
    <w:pPr>
      <w:widowControl w:val="false"/>
      <w:suppressAutoHyphens w:val="true"/>
      <w:overflowPunct w:val="true"/>
      <w:bidi w:val="0"/>
      <w:spacing w:before="0" w:after="0"/>
      <w:jc w:val="left"/>
    </w:pPr>
    <w:rPr>
      <w:rFonts w:ascii="Times New Roman" w:hAnsi="Times New Roman" w:eastAsia="Times New Roman" w:cs="Times New Roman"/>
      <w:color w:val="00000A"/>
      <w:kern w:val="0"/>
      <w:sz w:val="20"/>
      <w:szCs w:val="20"/>
      <w:lang w:eastAsia="es-ES" w:bidi="es-ES" w:val="es-ES"/>
    </w:rPr>
  </w:style>
  <w:style w:type="paragraph" w:styleId="Subttulo">
    <w:name w:val="Subtitle"/>
    <w:basedOn w:val="Normal"/>
    <w:next w:val="Normal"/>
    <w:uiPriority w:val="11"/>
    <w:qFormat/>
    <w:pPr>
      <w:keepNext w:val="true"/>
      <w:keepLines/>
      <w:spacing w:before="360" w:after="80"/>
    </w:pPr>
    <w:rPr>
      <w:rFonts w:ascii="Georgia" w:hAnsi="Georgia" w:eastAsia="Georgia" w:cs="Georgia"/>
      <w:i/>
      <w:color w:val="666666"/>
      <w:sz w:val="48"/>
      <w:szCs w:val="48"/>
    </w:rPr>
  </w:style>
  <w:style w:type="paragraph" w:styleId="Annotationtext">
    <w:name w:val="annotation text"/>
    <w:basedOn w:val="Normal"/>
    <w:link w:val="TextocomentarioCar"/>
    <w:uiPriority w:val="99"/>
    <w:semiHidden/>
    <w:unhideWhenUsed/>
    <w:qFormat/>
    <w:pPr/>
    <w:rPr/>
  </w:style>
  <w:style w:type="paragraph" w:styleId="Default" w:customStyle="1">
    <w:name w:val="Default"/>
    <w:qFormat/>
    <w:rsid w:val="00de79bf"/>
    <w:pPr>
      <w:widowControl/>
      <w:bidi w:val="0"/>
      <w:spacing w:before="0" w:after="0"/>
      <w:jc w:val="left"/>
    </w:pPr>
    <w:rPr>
      <w:rFonts w:ascii="Calibri Light" w:hAnsi="Calibri Light" w:cs="Calibri Light" w:eastAsia="Times New Roman"/>
      <w:color w:val="000000"/>
      <w:kern w:val="0"/>
      <w:sz w:val="24"/>
      <w:szCs w:val="24"/>
      <w:lang w:val="es-CO" w:eastAsia="es-CO" w:bidi="ar-SA"/>
    </w:rPr>
  </w:style>
  <w:style w:type="numbering" w:styleId="NoList" w:default="1">
    <w:name w:val="No List"/>
    <w:uiPriority w:val="99"/>
    <w:semiHidden/>
    <w:unhideWhenUsed/>
    <w:qFormat/>
  </w:style>
  <w:style w:type="numbering" w:styleId="WW8Num1" w:customStyle="1">
    <w:name w:val="WW8Num1"/>
    <w:qFormat/>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table" w:customStyle="1" w:styleId="TableNormal">
    <w:name w:val="Table Normal"/>
    <w:tblPr>
      <w:tblCellMar>
        <w:top w:w="0" w:type="dxa"/>
        <w:left w:w="0" w:type="dxa"/>
        <w:bottom w:w="0" w:type="dxa"/>
        <w:right w:w="0" w:type="dxa"/>
      </w:tblCellMar>
    </w:tblPr>
  </w:style>
  <w:style w:type="table" w:styleId="Tablaconcuadrcula">
    <w:name w:val="Table Grid"/>
    <w:basedOn w:val="Tablanormal"/>
    <w:uiPriority w:val="39"/>
    <w:rsid w:val="0064020c"/>
    <w:rPr>
      <w:lang w:eastAsia="es-ES_tradnl"/>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https://www.alcaldiabogota.gov.co/sisjur/normas/Norma1.jsp?dt=S&amp;i=28164" TargetMode="External"/><Relationship Id="rId3" Type="http://schemas.openxmlformats.org/officeDocument/2006/relationships/hyperlink" Target="https://www.alcaldiabogota.gov.co/sisjur/normas/Norma1.jsp?dt=S&amp;i=80504" TargetMode="External"/><Relationship Id="rId4" Type="http://schemas.openxmlformats.org/officeDocument/2006/relationships/hyperlink" Target="https://www.alcaldiabogota.gov.co/sisjur/normas/Norma1.jsp?i=28164" TargetMode="External"/><Relationship Id="rId5" Type="http://schemas.openxmlformats.org/officeDocument/2006/relationships/hyperlink" Target="https://www.alcaldiabogota.gov.co/sisjur/normas/Norma1.jsp?i=80504" TargetMode="External"/><Relationship Id="rId6" Type="http://schemas.openxmlformats.org/officeDocument/2006/relationships/header" Target="header1.xml"/><Relationship Id="rId7" Type="http://schemas.openxmlformats.org/officeDocument/2006/relationships/footer" Target="footer1.xml"/><Relationship Id="rId8" Type="http://schemas.openxmlformats.org/officeDocument/2006/relationships/fontTable" Target="fontTable.xml"/><Relationship Id="rId9" Type="http://schemas.openxmlformats.org/officeDocument/2006/relationships/settings" Target="settings.xml"/><Relationship Id="rId10" Type="http://schemas.openxmlformats.org/officeDocument/2006/relationships/theme" Target="theme/theme1.xml"/><Relationship Id="rId11" Type="http://schemas.openxmlformats.org/officeDocument/2006/relationships/customXml" Target="../customXml/item1.xml"/>
</Relationships>
</file>

<file path=word/_rels/footer1.xml.rels><?xml version="1.0" encoding="UTF-8"?>
<Relationships xmlns="http://schemas.openxmlformats.org/package/2006/relationships"><Relationship Id="rId1" Type="http://schemas.openxmlformats.org/officeDocument/2006/relationships/hyperlink" Target="http://www.culturarecreacionydeporte.gov.co/" TargetMode="External"/><Relationship Id="rId2" Type="http://schemas.openxmlformats.org/officeDocument/2006/relationships/image" Target="media/image2.png"/>
</Relationships>
</file>

<file path=word/_rels/header1.xml.rels><?xml version="1.0" encoding="UTF-8"?>
<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go:gDocsCustomXmlDataStorage xmlns:go="http://customooxmlschemas.google.com/" xmlns:r="http://schemas.openxmlformats.org/officeDocument/2006/relationships">
  <go:docsCustomData roundtripDataSignature="AMtx7mhhxyVAlK5IHjkmLbk7Ec+VQEnthQ==">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</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93</TotalTime>
  <Application>LibreOffice/6.3.6.2$Windows_X86_64 LibreOffice_project/2196df99b074d8a661f4036fca8fa0cbfa33a497</Application>
  <Pages>2</Pages>
  <Words>2197</Words>
  <Characters>11529</Characters>
  <CharactersWithSpaces>13697</CharactersWithSpaces>
  <Paragraphs>57</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2023-12-19T15:46:00Z</dcterms:created>
  <dc:creator>Dirección de Gestión Corporativa</dc:creator>
  <dc:description/>
  <dc:language>es-CO</dc:language>
  <cp:lastModifiedBy>Gloria Isabel Vargas Torres</cp:lastModifiedBy>
  <dcterms:modified xsi:type="dcterms:W3CDTF">2023-12-19T20:03:00Z</dcterms:modified>
  <cp:revision>3</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0</vt:bool>
  </property>
  <property fmtid="{D5CDD505-2E9C-101B-9397-08002B2CF9AE}" pid="5" name="Informaci?n 1">
    <vt:lpwstr/>
  </property>
  <property fmtid="{D5CDD505-2E9C-101B-9397-08002B2CF9AE}" pid="6" name="Informaci?n 2">
    <vt:lpwstr/>
  </property>
  <property fmtid="{D5CDD505-2E9C-101B-9397-08002B2CF9AE}" pid="7" name="Informaci?n 3">
    <vt:lpwstr/>
  </property>
  <property fmtid="{D5CDD505-2E9C-101B-9397-08002B2CF9AE}" pid="8" name="Informaci?n 4">
    <vt:lpwstr/>
  </property>
  <property fmtid="{D5CDD505-2E9C-101B-9397-08002B2CF9AE}" pid="9" name="LinksUpToDate">
    <vt:bool>0</vt:bool>
  </property>
  <property fmtid="{D5CDD505-2E9C-101B-9397-08002B2CF9AE}" pid="10" name="ScaleCrop">
    <vt:bool>0</vt:bool>
  </property>
  <property fmtid="{D5CDD505-2E9C-101B-9397-08002B2CF9AE}" pid="11" name="ShareDoc">
    <vt:bool>0</vt:bool>
  </property>
</Properties>
</file>