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FECC33" w14:textId="4EC573AA" w:rsidR="00D96726" w:rsidRPr="00E42DCC" w:rsidRDefault="0033516D" w:rsidP="00871C35">
      <w:pPr>
        <w:widowControl/>
        <w:suppressAutoHyphens w:val="0"/>
        <w:overflowPunct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es-MX" w:eastAsia="es-MX" w:bidi="ar-SA"/>
        </w:rPr>
      </w:pPr>
      <w:r w:rsidRPr="00E42DCC">
        <w:rPr>
          <w:rFonts w:ascii="Arial" w:hAnsi="Arial" w:cs="Arial"/>
          <w:b/>
          <w:i/>
          <w:color w:val="000000" w:themeColor="text1"/>
          <w:sz w:val="22"/>
          <w:szCs w:val="22"/>
          <w:lang w:val="es-MX" w:eastAsia="es-MX" w:bidi="ar-SA"/>
        </w:rPr>
        <w:t>“</w:t>
      </w:r>
      <w:r w:rsidR="00B51739" w:rsidRPr="00E42DCC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Por medio de la cual se </w:t>
      </w:r>
      <w:r w:rsidR="00645616" w:rsidRPr="00E42DCC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deroga la </w:t>
      </w:r>
      <w:r w:rsidRPr="00E42DCC">
        <w:rPr>
          <w:rFonts w:ascii="Arial" w:hAnsi="Arial" w:cs="Arial"/>
          <w:b/>
          <w:i/>
          <w:color w:val="000000" w:themeColor="text1"/>
          <w:sz w:val="22"/>
          <w:szCs w:val="22"/>
          <w:lang w:val="es-MX" w:eastAsia="es-MX" w:bidi="ar-SA"/>
        </w:rPr>
        <w:t>Resolución 332 de 2020”</w:t>
      </w:r>
      <w:r w:rsidR="007042B4" w:rsidRPr="00E42DCC">
        <w:rPr>
          <w:rFonts w:ascii="Arial" w:hAnsi="Arial" w:cs="Arial"/>
          <w:b/>
          <w:i/>
          <w:color w:val="000000" w:themeColor="text1"/>
          <w:sz w:val="22"/>
          <w:szCs w:val="22"/>
          <w:lang w:val="es-MX" w:eastAsia="es-MX" w:bidi="ar-SA"/>
        </w:rPr>
        <w:t xml:space="preserve"> </w:t>
      </w:r>
    </w:p>
    <w:p w14:paraId="5D163111" w14:textId="77777777" w:rsidR="0033516D" w:rsidRPr="00034877" w:rsidRDefault="0033516D" w:rsidP="00871C35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5A9B6C86" w14:textId="77777777" w:rsidR="00D96726" w:rsidRPr="00034877" w:rsidRDefault="00D96726" w:rsidP="00D96726">
      <w:pPr>
        <w:widowControl/>
        <w:suppressAutoHyphens w:val="0"/>
        <w:overflowPunct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</w:pPr>
    </w:p>
    <w:p w14:paraId="22B11469" w14:textId="047E08C4" w:rsidR="000B3C80" w:rsidRPr="00034877" w:rsidRDefault="003404A8" w:rsidP="00D96726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LA</w:t>
      </w:r>
      <w:r w:rsidR="0033516D"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 xml:space="preserve"> SECRETARI</w:t>
      </w: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A</w:t>
      </w:r>
      <w:r w:rsidR="0033516D"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 xml:space="preserve"> DE</w:t>
      </w:r>
      <w:r w:rsidR="000D3E95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 xml:space="preserve"> CULTURA, RECREACIÓN Y DEPORTE </w:t>
      </w:r>
    </w:p>
    <w:p w14:paraId="5DB39CDA" w14:textId="4E953A8D" w:rsidR="00CD2757" w:rsidRPr="00034877" w:rsidRDefault="00CD2757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25D13A0E" w14:textId="3730F8FD" w:rsidR="00CD2757" w:rsidRPr="00034877" w:rsidRDefault="00CD2757" w:rsidP="00CD2757">
      <w:pPr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En ejercicio de sus facultades legales y reglamentarias</w:t>
      </w:r>
      <w:r w:rsidR="009709CE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y en virtud de lo previsto en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la Ley 1801 de 2016, el Decreto 1080 de 2015 modificado y adicionado por el Decreto 2358 de 2019, </w:t>
      </w:r>
      <w:r w:rsidR="00E42DC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los acuerdos distritales 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257 de 2006</w:t>
      </w:r>
      <w:r w:rsidR="00E42DC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y 735 de 2019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, </w:t>
      </w:r>
      <w:r w:rsidR="00E42DC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y los decretos distritales 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070 de 2015</w:t>
      </w:r>
      <w:r w:rsidR="00E42DC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y 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340 de 2020, modificado por el Decreto Distrital 400 de 2022</w:t>
      </w:r>
      <w:r w:rsidR="00E42DC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,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y</w:t>
      </w:r>
    </w:p>
    <w:p w14:paraId="4DF40784" w14:textId="77777777" w:rsidR="00CD2757" w:rsidRPr="00034877" w:rsidRDefault="00CD2757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eastAsia="es-MX" w:bidi="ar-SA"/>
        </w:rPr>
      </w:pPr>
    </w:p>
    <w:p w14:paraId="188E6508" w14:textId="77777777" w:rsidR="0033516D" w:rsidRPr="00034877" w:rsidRDefault="0033516D" w:rsidP="0033516D">
      <w:pPr>
        <w:widowControl/>
        <w:suppressAutoHyphens w:val="0"/>
        <w:overflowPunct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29C6A88B" w14:textId="14BD6C58" w:rsidR="0033516D" w:rsidRPr="00034877" w:rsidRDefault="0033516D" w:rsidP="0033516D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CONSIDERA</w:t>
      </w:r>
      <w:r w:rsidR="00EE7E79"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N</w:t>
      </w: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DO</w:t>
      </w:r>
      <w:r w:rsidR="00645616"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 xml:space="preserve">: </w:t>
      </w:r>
    </w:p>
    <w:p w14:paraId="453C9EA8" w14:textId="77777777" w:rsidR="0033516D" w:rsidRPr="00034877" w:rsidRDefault="0033516D" w:rsidP="0033516D">
      <w:pPr>
        <w:widowControl/>
        <w:suppressAutoHyphens w:val="0"/>
        <w:overflowPunct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419F7BC8" w14:textId="4DD6E191" w:rsidR="0033516D" w:rsidRPr="00034877" w:rsidRDefault="0033516D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Que el </w:t>
      </w:r>
      <w:r w:rsidR="00CB1D75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rtículo 72 </w:t>
      </w:r>
      <w:r w:rsidR="00CD275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de la Constitución Política 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establece que el “</w:t>
      </w:r>
      <w:r w:rsidR="00CB1D75" w:rsidRPr="00034877"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  <w:t>e</w:t>
      </w:r>
      <w:r w:rsidRPr="00034877"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  <w:t>l patrimonio cultural de la Nación está bajo la protección del Estado. El patrimonio arqueológico y otros bienes culturales que conforman la identidad nacional, pertenecen a la Nación y son inalienables, inembargables e imprescriptibles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”.</w:t>
      </w:r>
    </w:p>
    <w:p w14:paraId="66C58069" w14:textId="77777777" w:rsidR="000F0621" w:rsidRPr="00034877" w:rsidRDefault="000F0621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CO"/>
        </w:rPr>
      </w:pPr>
    </w:p>
    <w:p w14:paraId="36B55BB9" w14:textId="6AC862C1" w:rsidR="00D96726" w:rsidRPr="00034877" w:rsidRDefault="00A54B9D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4877">
        <w:rPr>
          <w:rFonts w:ascii="Arial" w:hAnsi="Arial" w:cs="Arial"/>
          <w:color w:val="000000" w:themeColor="text1"/>
          <w:sz w:val="22"/>
          <w:szCs w:val="22"/>
        </w:rPr>
        <w:t>Que</w:t>
      </w:r>
      <w:r w:rsidR="00CB1D75" w:rsidRPr="00034877">
        <w:rPr>
          <w:rFonts w:ascii="Arial" w:hAnsi="Arial" w:cs="Arial"/>
          <w:color w:val="000000" w:themeColor="text1"/>
          <w:sz w:val="22"/>
          <w:szCs w:val="22"/>
        </w:rPr>
        <w:t>,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 de conformidad con</w:t>
      </w:r>
      <w:r w:rsidR="005737EF" w:rsidRPr="00034877">
        <w:rPr>
          <w:rFonts w:ascii="Arial" w:hAnsi="Arial" w:cs="Arial"/>
          <w:color w:val="000000" w:themeColor="text1"/>
          <w:sz w:val="22"/>
          <w:szCs w:val="22"/>
        </w:rPr>
        <w:t xml:space="preserve"> lo establecido en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 el </w:t>
      </w:r>
      <w:r w:rsidR="00034877" w:rsidRPr="00034877">
        <w:rPr>
          <w:rFonts w:ascii="Arial" w:hAnsi="Arial" w:cs="Arial"/>
          <w:color w:val="000000" w:themeColor="text1"/>
          <w:sz w:val="22"/>
          <w:szCs w:val="22"/>
        </w:rPr>
        <w:t>A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rtículo 8° de la Ley 397 de 1997, modificado por el </w:t>
      </w:r>
      <w:r w:rsidR="00034877" w:rsidRPr="00034877">
        <w:rPr>
          <w:rFonts w:ascii="Arial" w:hAnsi="Arial" w:cs="Arial"/>
          <w:color w:val="000000" w:themeColor="text1"/>
          <w:sz w:val="22"/>
          <w:szCs w:val="22"/>
        </w:rPr>
        <w:t>A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>rtículo 5° de la Ley 1185 de 2008, a las entidades territoriales les corresponde la declaratoria y manejo de los bienes de interés cultural del ámbito departamental, distrital, municipal, de los territorios indígenas y de las comunidades negras de que trata la Ley 70 de 1993, a través de las gobernaciones, alcaldías o autoridades respectivas, previo concepto favorable del correspondiente Consejo Departamental de Patrimonio Cultural o del Consejo Distrital de Patrimonio Cultural, en el caso de los distritos.</w:t>
      </w:r>
      <w:r w:rsidR="00EE7E79"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CA3BC07" w14:textId="207129D8" w:rsidR="00F0306B" w:rsidRPr="00034877" w:rsidRDefault="00F0306B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46AA4E49" w14:textId="2A8E9160" w:rsidR="00F0306B" w:rsidRPr="00034877" w:rsidRDefault="00F0306B" w:rsidP="00F0306B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Que el </w:t>
      </w:r>
      <w:r w:rsid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p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arágrafo 1° del </w:t>
      </w:r>
      <w:r w:rsid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rtículo 15 de la Ley 397 de1997, modificado por el </w:t>
      </w:r>
      <w:r w:rsid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rtículo 10</w:t>
      </w:r>
      <w:r w:rsid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º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de la Ley 1185 de 2008, establece que: </w:t>
      </w:r>
      <w:r w:rsidRPr="00034877"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  <w:t>“</w:t>
      </w:r>
      <w:r w:rsidRP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(…) las entidades territoriales</w:t>
      </w:r>
      <w:r w:rsid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,</w:t>
      </w:r>
      <w:r w:rsidRP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 xml:space="preserve"> en lo de su competencia, quedan investi</w:t>
      </w:r>
      <w:r w:rsid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da</w:t>
      </w:r>
      <w:r w:rsidRP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s de funciones policivas para la imposición y ejecución de medidas, multas, decomisos definitivos y demás sanciones establecidas está la ley, que sean aplicables según el caso</w:t>
      </w:r>
      <w:r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”.</w:t>
      </w:r>
    </w:p>
    <w:p w14:paraId="305EFA05" w14:textId="77777777" w:rsidR="00F0306B" w:rsidRPr="00034877" w:rsidRDefault="00F0306B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1D775026" w14:textId="021DAF25" w:rsidR="00E3693B" w:rsidRPr="00034877" w:rsidRDefault="00D25913" w:rsidP="0033516D">
      <w:pPr>
        <w:widowControl/>
        <w:suppressAutoHyphens w:val="0"/>
        <w:overflowPunct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Que el </w:t>
      </w:r>
      <w:r w:rsid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Artículo 90 del 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Acuerdo </w:t>
      </w:r>
      <w:r w:rsid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D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istrital 257 de 2006, establece </w:t>
      </w:r>
      <w:r w:rsid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que </w:t>
      </w:r>
      <w:r w:rsidRPr="00034877">
        <w:rPr>
          <w:rFonts w:ascii="Arial" w:hAnsi="Arial" w:cs="Arial"/>
          <w:i/>
          <w:color w:val="000000" w:themeColor="text1"/>
          <w:sz w:val="22"/>
          <w:szCs w:val="22"/>
          <w:lang w:val="es-MX" w:eastAsia="es-MX" w:bidi="ar-SA"/>
        </w:rPr>
        <w:t>“</w:t>
      </w:r>
      <w:r w:rsidR="00034877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e</w:t>
      </w:r>
      <w:r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l Sector Cultura, Recreación y Deporte tiene como misión garantizar las condiciones para el ejercicio efectivo, progresivo y sostenible de los derechos a la cultura, a la recreación y al deporte de los habitantes del Distrito Capital, así como fortalecer los campos cultural, artístico, patrimonial y deportivo</w:t>
      </w:r>
      <w:r w:rsid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”</w:t>
      </w:r>
      <w:r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.</w:t>
      </w:r>
      <w:r w:rsidR="00CD720D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="00CD720D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Así mismo, el </w:t>
      </w:r>
      <w:r w:rsid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="00CD720D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rtículo 9</w:t>
      </w:r>
      <w:r w:rsid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4 de ese mismo decreto establece como </w:t>
      </w:r>
      <w:r w:rsid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función de esta secretaría la de </w:t>
      </w:r>
      <w:r w:rsidR="0033516D" w:rsidRPr="00034877"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  <w:t>“orientar y liderar la formulación concertada de políticas, planes y programas en los campos cultural, patrimonial, recreativo y deportivo del Distrito Capital en coordinación con la Secretaría Distrital de Planeación y con la participación de las entidades a ella adscritas y vinculadas y la sociedad civil”.</w:t>
      </w:r>
    </w:p>
    <w:p w14:paraId="60C8FA9E" w14:textId="1F858303" w:rsidR="00B10733" w:rsidRPr="00034877" w:rsidRDefault="00B10733" w:rsidP="0033516D">
      <w:pPr>
        <w:widowControl/>
        <w:suppressAutoHyphens w:val="0"/>
        <w:overflowPunct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</w:pPr>
    </w:p>
    <w:p w14:paraId="5FFFD4CB" w14:textId="54263887" w:rsidR="00B10733" w:rsidRPr="00034877" w:rsidRDefault="00B10733" w:rsidP="00B10733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2723DA">
        <w:rPr>
          <w:rFonts w:ascii="Arial" w:hAnsi="Arial" w:cs="Arial"/>
          <w:iCs/>
          <w:color w:val="000000" w:themeColor="text1"/>
          <w:sz w:val="22"/>
          <w:szCs w:val="22"/>
          <w:lang w:val="es-MX" w:eastAsia="es-MX" w:bidi="ar-SA"/>
        </w:rPr>
        <w:t xml:space="preserve">Que el Decreto </w:t>
      </w:r>
      <w:r w:rsidR="00EE7E79" w:rsidRPr="002723DA">
        <w:rPr>
          <w:rFonts w:ascii="Arial" w:hAnsi="Arial" w:cs="Arial"/>
          <w:iCs/>
          <w:color w:val="000000" w:themeColor="text1"/>
          <w:sz w:val="22"/>
          <w:szCs w:val="22"/>
          <w:lang w:val="es-MX" w:eastAsia="es-MX" w:bidi="ar-SA"/>
        </w:rPr>
        <w:t xml:space="preserve">Distrital </w:t>
      </w:r>
      <w:r w:rsidRPr="002723DA">
        <w:rPr>
          <w:rFonts w:ascii="Arial" w:hAnsi="Arial" w:cs="Arial"/>
          <w:iCs/>
          <w:color w:val="000000" w:themeColor="text1"/>
          <w:sz w:val="22"/>
          <w:szCs w:val="22"/>
          <w:lang w:val="es-MX" w:eastAsia="es-MX" w:bidi="ar-SA"/>
        </w:rPr>
        <w:t>340 de 2020</w:t>
      </w:r>
      <w:r w:rsidR="002723DA">
        <w:rPr>
          <w:rFonts w:ascii="Arial" w:hAnsi="Arial" w:cs="Arial"/>
          <w:iCs/>
          <w:color w:val="000000" w:themeColor="text1"/>
          <w:sz w:val="22"/>
          <w:szCs w:val="22"/>
          <w:lang w:val="es-MX" w:eastAsia="es-MX" w:bidi="ar-SA"/>
        </w:rPr>
        <w:t>,</w:t>
      </w:r>
      <w:r w:rsidRPr="00034877"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  <w:t xml:space="preserve"> “Por el cual se modifica la estructura organizacional de la Secretaria Distrital de Cultura, Recreación y Deporte y se dictan otras disposiciones.“ </w:t>
      </w:r>
      <w:r w:rsidR="002723DA">
        <w:rPr>
          <w:rFonts w:ascii="Arial" w:hAnsi="Arial" w:cs="Arial"/>
          <w:iCs/>
          <w:color w:val="000000" w:themeColor="text1"/>
          <w:sz w:val="22"/>
          <w:szCs w:val="22"/>
          <w:lang w:val="es-MX" w:eastAsia="es-MX" w:bidi="ar-SA"/>
        </w:rPr>
        <w:t xml:space="preserve">le asignó a esta secretaría las funciones de </w:t>
      </w:r>
      <w:r w:rsidR="002723DA" w:rsidRPr="00585021"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  <w:t>“</w:t>
      </w:r>
      <w:r w:rsidR="002723DA" w:rsidRPr="00585021">
        <w:rPr>
          <w:rFonts w:ascii="Arial" w:hAnsi="Arial" w:cs="Arial"/>
          <w:i/>
          <w:color w:val="000000" w:themeColor="text1"/>
          <w:sz w:val="22"/>
          <w:szCs w:val="22"/>
          <w:lang w:val="es-MX" w:eastAsia="es-MX" w:bidi="ar-SA"/>
        </w:rPr>
        <w:t>d</w:t>
      </w:r>
      <w:r w:rsidRPr="00585021">
        <w:rPr>
          <w:rFonts w:ascii="Arial" w:hAnsi="Arial" w:cs="Arial"/>
          <w:i/>
          <w:color w:val="000000" w:themeColor="text1"/>
          <w:sz w:val="22"/>
          <w:szCs w:val="22"/>
          <w:lang w:val="es-MX" w:eastAsia="es-MX" w:bidi="ar-SA"/>
        </w:rPr>
        <w:t>iseñar</w:t>
      </w:r>
      <w:r w:rsidR="00D96726" w:rsidRPr="00585021">
        <w:rPr>
          <w:rFonts w:ascii="Arial" w:hAnsi="Arial" w:cs="Arial"/>
          <w:i/>
          <w:color w:val="000000" w:themeColor="text1"/>
          <w:sz w:val="22"/>
          <w:szCs w:val="22"/>
          <w:lang w:val="es-MX" w:eastAsia="es-MX" w:bidi="ar-SA"/>
        </w:rPr>
        <w:t xml:space="preserve"> </w:t>
      </w:r>
      <w:r w:rsidRPr="00585021">
        <w:rPr>
          <w:rFonts w:ascii="Arial" w:hAnsi="Arial" w:cs="Arial"/>
          <w:i/>
          <w:color w:val="000000" w:themeColor="text1"/>
          <w:sz w:val="22"/>
          <w:szCs w:val="22"/>
          <w:lang w:val="es-MX" w:eastAsia="es-MX" w:bidi="ar-SA"/>
        </w:rPr>
        <w:t>estrategias que permitan fortalecer la formación, creación, investigación, circulación, apropiación, protección, salvaguarda, divulgación y el fomento del patrimonio cultural tangible e intangible; coordinar la ejecución de las políticas, planes y programas en el campo patrimonial que desarrollen las entidades adscritas y vinculadas y las localidades y gestionar la ejecución de las políticas, planes y proyectos culturales y artísticos, con el fin de garantizar el efectivo ejercicio de los derechos culturales y fortalecer el campo patrimonial</w:t>
      </w:r>
      <w:r w:rsidR="00585021">
        <w:rPr>
          <w:rFonts w:ascii="Arial" w:hAnsi="Arial" w:cs="Arial"/>
          <w:i/>
          <w:color w:val="000000" w:themeColor="text1"/>
          <w:sz w:val="22"/>
          <w:szCs w:val="22"/>
          <w:lang w:val="es-MX" w:eastAsia="es-MX" w:bidi="ar-SA"/>
        </w:rPr>
        <w:t>”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.</w:t>
      </w:r>
    </w:p>
    <w:p w14:paraId="17F785FD" w14:textId="77777777" w:rsidR="0033516D" w:rsidRPr="00034877" w:rsidRDefault="0033516D" w:rsidP="0033516D">
      <w:pPr>
        <w:widowControl/>
        <w:suppressAutoHyphens w:val="0"/>
        <w:overflowPunct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1D1716F9" w14:textId="02EA7B92" w:rsidR="009501C0" w:rsidRDefault="0033516D" w:rsidP="003B793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 xml:space="preserve">Que </w:t>
      </w:r>
      <w:r w:rsidR="000C356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 xml:space="preserve">el parágrafo 1º del Artículo 198 de </w:t>
      </w:r>
      <w:r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la Ley 1801 de 2016</w:t>
      </w:r>
      <w:r w:rsidR="00D003A2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 xml:space="preserve"> </w:t>
      </w:r>
      <w:r w:rsidR="00D003A2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“Por la cual se expide el Código Nacional de Seguridad y Convivencia Ciudadana”</w:t>
      </w:r>
      <w:r w:rsidR="000C356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 xml:space="preserve"> </w:t>
      </w:r>
      <w:r w:rsidR="00FC5F8F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invisti</w:t>
      </w:r>
      <w:r w:rsidR="00EA312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ó</w:t>
      </w:r>
      <w:r w:rsidR="000C356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 xml:space="preserve"> </w:t>
      </w:r>
      <w:r w:rsidR="00545E80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a las autoridades territoriales</w:t>
      </w:r>
      <w:r w:rsidR="000C356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,</w:t>
      </w:r>
      <w:r w:rsidR="00545E80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 xml:space="preserve"> en lo de su competencia</w:t>
      </w:r>
      <w:r w:rsidR="000C356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>,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 xml:space="preserve"> </w:t>
      </w:r>
      <w:r w:rsidR="00FC5F8F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s-MX" w:eastAsia="es-MX" w:bidi="ar-SA"/>
        </w:rPr>
        <w:t xml:space="preserve">de funciones policivas especiales para la imposición y ejecución de medidas correctivas establecidas en esa ley dentro de las que se encuentran aquellas 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>encaminadas a detener la afectación a</w:t>
      </w:r>
      <w:r w:rsidR="00545E80"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>l</w:t>
      </w:r>
      <w:r w:rsidR="00545E80" w:rsidRPr="00034877">
        <w:rPr>
          <w:rFonts w:ascii="Arial" w:hAnsi="Arial" w:cs="Arial"/>
          <w:color w:val="000000" w:themeColor="text1"/>
          <w:sz w:val="22"/>
          <w:szCs w:val="22"/>
        </w:rPr>
        <w:t>os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679C">
        <w:rPr>
          <w:rFonts w:ascii="Arial" w:hAnsi="Arial" w:cs="Arial"/>
          <w:color w:val="000000" w:themeColor="text1"/>
          <w:sz w:val="22"/>
          <w:szCs w:val="22"/>
        </w:rPr>
        <w:t>B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>ien</w:t>
      </w:r>
      <w:r w:rsidR="00545E80" w:rsidRPr="00034877">
        <w:rPr>
          <w:rFonts w:ascii="Arial" w:hAnsi="Arial" w:cs="Arial"/>
          <w:color w:val="000000" w:themeColor="text1"/>
          <w:sz w:val="22"/>
          <w:szCs w:val="22"/>
        </w:rPr>
        <w:t>es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A8679C">
        <w:rPr>
          <w:rFonts w:ascii="Arial" w:hAnsi="Arial" w:cs="Arial"/>
          <w:color w:val="000000" w:themeColor="text1"/>
          <w:sz w:val="22"/>
          <w:szCs w:val="22"/>
        </w:rPr>
        <w:t>I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 xml:space="preserve">nterés </w:t>
      </w:r>
      <w:r w:rsidR="00A8679C">
        <w:rPr>
          <w:rFonts w:ascii="Arial" w:hAnsi="Arial" w:cs="Arial"/>
          <w:color w:val="000000" w:themeColor="text1"/>
          <w:sz w:val="22"/>
          <w:szCs w:val="22"/>
        </w:rPr>
        <w:t>C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 xml:space="preserve">ultural. </w:t>
      </w:r>
    </w:p>
    <w:p w14:paraId="347F8742" w14:textId="77777777" w:rsidR="009501C0" w:rsidRDefault="009501C0" w:rsidP="003B793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5BC986" w14:textId="3077C7DD" w:rsidR="003B793D" w:rsidRPr="00034877" w:rsidRDefault="009501C0" w:rsidP="003B793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Que, e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>n virtud de lo anterior, la Secretaria Distrital de Cultural de Recreación y Deporte, es competente para conocer, imponer y ejecutar las medidas que correspondan, cuando se presente</w:t>
      </w:r>
      <w:r w:rsidR="0067087E">
        <w:rPr>
          <w:rFonts w:ascii="Arial" w:hAnsi="Arial" w:cs="Arial"/>
          <w:color w:val="000000" w:themeColor="text1"/>
          <w:sz w:val="22"/>
          <w:szCs w:val="22"/>
        </w:rPr>
        <w:t>n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 xml:space="preserve"> comportamientos contrarios a la protección y conservación del Patrimonio Cultural</w:t>
      </w:r>
      <w:r w:rsidR="0067087E">
        <w:rPr>
          <w:rFonts w:ascii="Arial" w:hAnsi="Arial" w:cs="Arial"/>
          <w:color w:val="000000" w:themeColor="text1"/>
          <w:sz w:val="22"/>
          <w:szCs w:val="22"/>
        </w:rPr>
        <w:t xml:space="preserve"> en los términos previstos en la mencionada ley</w:t>
      </w:r>
      <w:r w:rsidR="003B793D" w:rsidRPr="0003487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3E7C9B" w14:textId="063F26F8" w:rsidR="003B793D" w:rsidRPr="00034877" w:rsidRDefault="003B793D" w:rsidP="003B793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C6B7B5" w14:textId="3669B56E" w:rsidR="003B793D" w:rsidRPr="00034877" w:rsidRDefault="00676A96" w:rsidP="003B793D">
      <w:pPr>
        <w:widowControl/>
        <w:suppressAutoHyphens w:val="0"/>
        <w:overflowPunct/>
        <w:jc w:val="both"/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</w:pP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Que adicionalmente, </w:t>
      </w:r>
      <w:r w:rsidR="00AA1DB6" w:rsidRPr="00034877">
        <w:rPr>
          <w:rFonts w:ascii="Arial" w:hAnsi="Arial" w:cs="Arial"/>
          <w:color w:val="000000" w:themeColor="text1"/>
          <w:sz w:val="22"/>
          <w:szCs w:val="22"/>
        </w:rPr>
        <w:t>e</w:t>
      </w:r>
      <w:r w:rsidR="00A8679C">
        <w:rPr>
          <w:rFonts w:ascii="Arial" w:hAnsi="Arial" w:cs="Arial"/>
          <w:color w:val="000000" w:themeColor="text1"/>
          <w:sz w:val="22"/>
          <w:szCs w:val="22"/>
        </w:rPr>
        <w:t>l mismo parágrafo 1º del Artículo 198 estableció que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 “</w:t>
      </w:r>
      <w:r w:rsidR="00A8679C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c</w:t>
      </w:r>
      <w:r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uando se presenten casos de afectación de Bienes de Interés Cultural se regirán exclusivamente en lo de su competencia para la imposición y ejecución de medidas correctivas por las disposiciones establecidas en la Ley </w:t>
      </w:r>
      <w:hyperlink r:id="rId7" w:anchor="C.4" w:history="1">
        <w:r w:rsidRPr="00034877">
          <w:rPr>
            <w:rStyle w:val="Hipervnculo"/>
            <w:rFonts w:ascii="Arial" w:hAnsi="Arial" w:cs="Arial"/>
            <w:i/>
            <w:color w:val="000000" w:themeColor="text1"/>
            <w:sz w:val="22"/>
            <w:szCs w:val="22"/>
            <w:u w:val="none"/>
            <w:shd w:val="clear" w:color="auto" w:fill="FFFFFF"/>
          </w:rPr>
          <w:t>397</w:t>
        </w:r>
      </w:hyperlink>
      <w:r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 de 1997 modificada por la Ley </w:t>
      </w:r>
      <w:hyperlink r:id="rId8" w:history="1">
        <w:r w:rsidRPr="00034877">
          <w:rPr>
            <w:rStyle w:val="Hipervnculo"/>
            <w:rFonts w:ascii="Arial" w:hAnsi="Arial" w:cs="Arial"/>
            <w:i/>
            <w:color w:val="000000" w:themeColor="text1"/>
            <w:sz w:val="22"/>
            <w:szCs w:val="22"/>
            <w:u w:val="none"/>
            <w:shd w:val="clear" w:color="auto" w:fill="FFFFFF"/>
          </w:rPr>
          <w:t>1185</w:t>
        </w:r>
      </w:hyperlink>
      <w:r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 de 2008.”</w:t>
      </w:r>
    </w:p>
    <w:p w14:paraId="4EC81255" w14:textId="6C74262F" w:rsidR="005737EF" w:rsidRPr="00034877" w:rsidRDefault="005737EF" w:rsidP="003B793D">
      <w:pPr>
        <w:widowControl/>
        <w:suppressAutoHyphens w:val="0"/>
        <w:overflowPunct/>
        <w:jc w:val="both"/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</w:pPr>
    </w:p>
    <w:p w14:paraId="204D6BBF" w14:textId="2BFD6452" w:rsidR="00B10733" w:rsidRPr="00034877" w:rsidRDefault="00876B68" w:rsidP="003B793D">
      <w:pPr>
        <w:widowControl/>
        <w:suppressAutoHyphens w:val="0"/>
        <w:overflowPunct/>
        <w:jc w:val="both"/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Que el </w:t>
      </w:r>
      <w:r w:rsidR="00B72DA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rtículo 4</w:t>
      </w:r>
      <w:r w:rsidR="00B72DA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º</w:t>
      </w:r>
      <w:r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la </w:t>
      </w:r>
      <w:r w:rsidR="00B72DA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</w:t>
      </w:r>
      <w:r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ey 1801 de 2016, establece la autonomía del acto y del procedimiento de policía</w:t>
      </w:r>
      <w:r w:rsidR="00B72DA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y señala </w:t>
      </w:r>
      <w:r w:rsidR="009A7CA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lo siguiente:</w:t>
      </w:r>
      <w:r w:rsidR="00E00494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“</w:t>
      </w:r>
      <w:r w:rsidR="009A7CAC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l</w:t>
      </w:r>
      <w:r w:rsidR="00E00494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as disposiciones de la Parte Primera del Código de Procedimiento Administrativo y de lo Contencioso Administrativo no se aplicarán al acto de Policía ni a los procedimientos de Policía, que por su misma naturaleza preventiva requieren decisiones de aplicación inmediata, eficaz, oportuna y diligente, para conservar el fin superior de la convivencia, de conformidad con las normas vigentes y el </w:t>
      </w:r>
      <w:r w:rsidR="009A7CAC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A</w:t>
      </w:r>
      <w:r w:rsidR="00E00494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rtículo </w:t>
      </w:r>
      <w:hyperlink r:id="rId9" w:anchor="2" w:history="1">
        <w:r w:rsidR="00E00494" w:rsidRPr="00034877">
          <w:rPr>
            <w:rStyle w:val="Hipervnculo"/>
            <w:rFonts w:ascii="Arial" w:hAnsi="Arial" w:cs="Arial"/>
            <w:i/>
            <w:color w:val="000000" w:themeColor="text1"/>
            <w:sz w:val="22"/>
            <w:szCs w:val="22"/>
            <w:u w:val="none"/>
            <w:shd w:val="clear" w:color="auto" w:fill="FFFFFF"/>
          </w:rPr>
          <w:t>2</w:t>
        </w:r>
      </w:hyperlink>
      <w:r w:rsidR="00E00494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° de la Ley 1437 de 2011. Por su parte las disposiciones de la parte segunda de la Ley </w:t>
      </w:r>
      <w:hyperlink r:id="rId10" w:history="1">
        <w:r w:rsidR="00E00494" w:rsidRPr="00034877">
          <w:rPr>
            <w:rStyle w:val="Hipervnculo"/>
            <w:rFonts w:ascii="Arial" w:hAnsi="Arial" w:cs="Arial"/>
            <w:i/>
            <w:color w:val="000000" w:themeColor="text1"/>
            <w:sz w:val="22"/>
            <w:szCs w:val="22"/>
            <w:u w:val="none"/>
            <w:shd w:val="clear" w:color="auto" w:fill="FFFFFF"/>
          </w:rPr>
          <w:t>1437</w:t>
        </w:r>
      </w:hyperlink>
      <w:r w:rsidR="00E00494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 de 2011 se aplicarán a la decisión final de las autoridades de </w:t>
      </w:r>
      <w:r w:rsidR="00085D6A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p</w:t>
      </w:r>
      <w:r w:rsidR="00E00494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olicía en el proceso único de </w:t>
      </w:r>
      <w:r w:rsidR="00085D6A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p</w:t>
      </w:r>
      <w:r w:rsidR="00E00494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olicía, con excepción de aquellas de que trata el numeral </w:t>
      </w:r>
      <w:hyperlink r:id="rId11" w:anchor="105.n.3" w:history="1">
        <w:r w:rsidR="00E00494" w:rsidRPr="00034877">
          <w:rPr>
            <w:rStyle w:val="Hipervnculo"/>
            <w:rFonts w:ascii="Arial" w:hAnsi="Arial" w:cs="Arial"/>
            <w:i/>
            <w:color w:val="000000" w:themeColor="text1"/>
            <w:sz w:val="22"/>
            <w:szCs w:val="22"/>
            <w:u w:val="none"/>
            <w:shd w:val="clear" w:color="auto" w:fill="FFFFFF"/>
          </w:rPr>
          <w:t>3</w:t>
        </w:r>
      </w:hyperlink>
      <w:r w:rsidR="00085D6A">
        <w:rPr>
          <w:rStyle w:val="Hipervnculo"/>
          <w:rFonts w:ascii="Arial" w:hAnsi="Arial" w:cs="Arial"/>
          <w:i/>
          <w:color w:val="000000" w:themeColor="text1"/>
          <w:sz w:val="22"/>
          <w:szCs w:val="22"/>
          <w:u w:val="none"/>
          <w:shd w:val="clear" w:color="auto" w:fill="FFFFFF"/>
        </w:rPr>
        <w:t>º</w:t>
      </w:r>
      <w:r w:rsidR="00E00494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 del </w:t>
      </w:r>
      <w:r w:rsidR="00085D6A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A</w:t>
      </w:r>
      <w:r w:rsidR="00E00494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rtículo 105 de la ley en mención”</w:t>
      </w:r>
      <w:r w:rsidR="0067087E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.</w:t>
      </w:r>
    </w:p>
    <w:p w14:paraId="3A056118" w14:textId="77777777" w:rsidR="00B10733" w:rsidRPr="00034877" w:rsidRDefault="00B10733" w:rsidP="003B793D">
      <w:pPr>
        <w:widowControl/>
        <w:suppressAutoHyphens w:val="0"/>
        <w:overflowPunct/>
        <w:jc w:val="both"/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</w:pPr>
    </w:p>
    <w:p w14:paraId="3EE9DB13" w14:textId="58711421" w:rsidR="005737EF" w:rsidRPr="00034877" w:rsidRDefault="00085D6A" w:rsidP="003B793D">
      <w:pPr>
        <w:widowControl/>
        <w:suppressAutoHyphens w:val="0"/>
        <w:overflowPunct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Que,</w:t>
      </w:r>
      <w:r w:rsidR="00F9331A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="003C6A72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9331A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su turno, el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="00F9331A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rtículo 214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 la Ley 1801 de 2016</w:t>
      </w:r>
      <w:r w:rsidR="00F9331A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6760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establece</w:t>
      </w:r>
      <w:r w:rsidR="00F9331A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que las actuaciones que adelanten las autoridades de policía, se rige</w:t>
      </w:r>
      <w:r w:rsidR="006C63BC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 por el </w:t>
      </w:r>
      <w:r w:rsidR="005623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</w:t>
      </w:r>
      <w:r w:rsidR="006C63BC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rocedimiento </w:t>
      </w:r>
      <w:r w:rsidR="005623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ú</w:t>
      </w:r>
      <w:r w:rsidR="006C63BC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nico de </w:t>
      </w:r>
      <w:r w:rsidR="005623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</w:t>
      </w:r>
      <w:r w:rsidR="006C63BC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olicía, mediante el proceso verbal abreviado, conforme a lo dispuesto en el </w:t>
      </w:r>
      <w:r w:rsidR="005623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="006C63BC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rtículo 223 </w:t>
      </w:r>
      <w:r w:rsidR="005623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de esa </w:t>
      </w:r>
      <w:r w:rsidR="005623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misma ley </w:t>
      </w:r>
      <w:r w:rsidR="006C63BC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que señala</w:t>
      </w:r>
      <w:r w:rsidR="005623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que</w:t>
      </w:r>
      <w:r w:rsidR="006C63BC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“</w:t>
      </w:r>
      <w:r w:rsidR="0056235D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s</w:t>
      </w:r>
      <w:r w:rsidR="006C63BC" w:rsidRP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e tramitarán por el proceso verbal abreviado los comportamientos contrarios a la convivencia, de competencia de los Inspectores de Policía, los </w:t>
      </w:r>
      <w:r w:rsidR="005330BE" w:rsidRP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alcaldes</w:t>
      </w:r>
      <w:r w:rsidR="006C63BC" w:rsidRP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C63BC" w:rsidRPr="004C49EF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y las autoridades especiales de Policía</w:t>
      </w:r>
      <w:r w:rsidR="006C63BC" w:rsidRP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” </w:t>
      </w:r>
      <w:r w:rsidR="00F9331A" w:rsidRP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ab/>
        <w:t xml:space="preserve"> </w:t>
      </w:r>
      <w:r w:rsidR="00F9331A" w:rsidRPr="00034877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ab/>
      </w:r>
    </w:p>
    <w:p w14:paraId="285223AC" w14:textId="77777777" w:rsidR="0033516D" w:rsidRPr="00034877" w:rsidRDefault="0033516D" w:rsidP="0033516D">
      <w:pPr>
        <w:widowControl/>
        <w:suppressAutoHyphens w:val="0"/>
        <w:overflowPunct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38F89B35" w14:textId="6E070D5E" w:rsidR="00250AEC" w:rsidRPr="00034877" w:rsidRDefault="0033516D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Que el </w:t>
      </w:r>
      <w:r w:rsidR="004C49EF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numeral 12 del </w:t>
      </w:r>
      <w:r w:rsidR="004C49EF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</w:t>
      </w:r>
      <w:r w:rsidR="004C49EF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rtículo 10</w:t>
      </w:r>
      <w:r w:rsidR="004C49EF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º del 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Acuerdo </w:t>
      </w:r>
      <w:r w:rsidR="008A3F31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Distrital 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735 de 2019, </w:t>
      </w:r>
      <w:r w:rsidR="004F4BDA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“</w:t>
      </w:r>
      <w:r w:rsidR="008A3F31" w:rsidRPr="00034877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Por el cual se dictan normas sobre competencias y atribuciones de las Autoridades Distritales de Policía, se modifican los Acuerdos Distritales </w:t>
      </w:r>
      <w:hyperlink r:id="rId12" w:history="1">
        <w:r w:rsidR="008A3F31" w:rsidRPr="00034877">
          <w:rPr>
            <w:rStyle w:val="Hipervnculo"/>
            <w:rFonts w:ascii="Arial" w:hAnsi="Arial" w:cs="Arial"/>
            <w:i/>
            <w:iCs/>
            <w:color w:val="000000" w:themeColor="text1"/>
            <w:sz w:val="22"/>
            <w:szCs w:val="22"/>
            <w:u w:val="none"/>
          </w:rPr>
          <w:t>79</w:t>
        </w:r>
      </w:hyperlink>
      <w:r w:rsidR="008A3F31" w:rsidRPr="00034877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 de 2003, </w:t>
      </w:r>
      <w:hyperlink r:id="rId13" w:history="1">
        <w:r w:rsidR="008A3F31" w:rsidRPr="00034877">
          <w:rPr>
            <w:rStyle w:val="Hipervnculo"/>
            <w:rFonts w:ascii="Arial" w:hAnsi="Arial" w:cs="Arial"/>
            <w:i/>
            <w:iCs/>
            <w:color w:val="000000" w:themeColor="text1"/>
            <w:sz w:val="22"/>
            <w:szCs w:val="22"/>
            <w:u w:val="none"/>
          </w:rPr>
          <w:t>257</w:t>
        </w:r>
      </w:hyperlink>
      <w:r w:rsidR="008A3F31" w:rsidRPr="00034877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 de 2006, </w:t>
      </w:r>
      <w:hyperlink r:id="rId14" w:history="1">
        <w:r w:rsidR="008A3F31" w:rsidRPr="00034877">
          <w:rPr>
            <w:rStyle w:val="Hipervnculo"/>
            <w:rFonts w:ascii="Arial" w:hAnsi="Arial" w:cs="Arial"/>
            <w:i/>
            <w:iCs/>
            <w:color w:val="000000" w:themeColor="text1"/>
            <w:sz w:val="22"/>
            <w:szCs w:val="22"/>
            <w:u w:val="none"/>
          </w:rPr>
          <w:t>637</w:t>
        </w:r>
      </w:hyperlink>
      <w:r w:rsidR="008A3F31" w:rsidRPr="00034877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 de 2016, y se dictan otras disposiciones</w:t>
      </w:r>
      <w:r w:rsidR="00B23327" w:rsidRPr="00034877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”</w:t>
      </w:r>
      <w:r w:rsidR="008A3F31" w:rsidRPr="00034877">
        <w:rPr>
          <w:rFonts w:ascii="Arial" w:hAnsi="Arial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50AEC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designó </w:t>
      </w:r>
      <w:r w:rsidR="00B2332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 la Secretaría Distrital de Cultura</w:t>
      </w:r>
      <w:r w:rsidR="000B3C80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,</w:t>
      </w:r>
      <w:r w:rsidR="00B2332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Recreación y Deporte, como Autoridad Administrativa Especial de Policía</w:t>
      </w:r>
      <w:r w:rsidR="00250AEC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.</w:t>
      </w:r>
    </w:p>
    <w:p w14:paraId="52A73401" w14:textId="77777777" w:rsidR="00250AEC" w:rsidRPr="00034877" w:rsidRDefault="00250AEC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722F5346" w14:textId="5D6121C1" w:rsidR="0033516D" w:rsidRPr="00034877" w:rsidRDefault="00250AEC" w:rsidP="00250AEC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Que</w:t>
      </w:r>
      <w:r w:rsidR="00DA5F1A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693AB5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el</w:t>
      </w:r>
      <w:r w:rsidR="00DA5F1A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F10B02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</w:t>
      </w:r>
      <w:r w:rsidR="00DA5F1A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rtículo 21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de</w:t>
      </w:r>
      <w:r w:rsidR="00F10B02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ese mismo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F10B02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cuerdo</w:t>
      </w:r>
      <w:r w:rsidR="00E6623B"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250D">
        <w:rPr>
          <w:rFonts w:ascii="Arial" w:hAnsi="Arial" w:cs="Arial"/>
          <w:color w:val="000000" w:themeColor="text1"/>
          <w:sz w:val="22"/>
          <w:szCs w:val="22"/>
        </w:rPr>
        <w:t xml:space="preserve">asignó a </w:t>
      </w:r>
      <w:r w:rsidR="00EF250D" w:rsidRPr="00034877">
        <w:rPr>
          <w:rFonts w:ascii="Arial" w:hAnsi="Arial" w:cs="Arial"/>
          <w:color w:val="000000" w:themeColor="text1"/>
          <w:sz w:val="22"/>
          <w:szCs w:val="22"/>
        </w:rPr>
        <w:t>la Dirección de Arte, Cultura y Patrimonio</w:t>
      </w:r>
      <w:r w:rsidR="00EF250D">
        <w:rPr>
          <w:rFonts w:ascii="Arial" w:hAnsi="Arial" w:cs="Arial"/>
          <w:color w:val="000000" w:themeColor="text1"/>
          <w:sz w:val="22"/>
          <w:szCs w:val="22"/>
        </w:rPr>
        <w:t xml:space="preserve"> y a</w:t>
      </w:r>
      <w:r w:rsidR="005311A0">
        <w:rPr>
          <w:rFonts w:ascii="Arial" w:hAnsi="Arial" w:cs="Arial"/>
          <w:color w:val="000000" w:themeColor="text1"/>
          <w:sz w:val="22"/>
          <w:szCs w:val="22"/>
        </w:rPr>
        <w:t xml:space="preserve"> la Secretaría </w:t>
      </w:r>
      <w:r w:rsidR="00EF250D">
        <w:rPr>
          <w:rFonts w:ascii="Arial" w:hAnsi="Arial" w:cs="Arial"/>
          <w:color w:val="000000" w:themeColor="text1"/>
          <w:sz w:val="22"/>
          <w:szCs w:val="22"/>
        </w:rPr>
        <w:t>de Cultura, Recreación y Deporte</w:t>
      </w:r>
      <w:r w:rsidR="00EF250D"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250D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E6623B" w:rsidRPr="00034877">
        <w:rPr>
          <w:rFonts w:ascii="Arial" w:hAnsi="Arial" w:cs="Arial"/>
          <w:color w:val="000000" w:themeColor="text1"/>
          <w:sz w:val="22"/>
          <w:szCs w:val="22"/>
        </w:rPr>
        <w:t xml:space="preserve">competencia </w:t>
      </w:r>
      <w:r w:rsidR="00EF250D">
        <w:rPr>
          <w:rFonts w:ascii="Arial" w:hAnsi="Arial" w:cs="Arial"/>
          <w:color w:val="000000" w:themeColor="text1"/>
          <w:sz w:val="22"/>
          <w:szCs w:val="22"/>
        </w:rPr>
        <w:t xml:space="preserve">para conocer en primera y segunda instancia, respectivamente, </w:t>
      </w:r>
      <w:r w:rsidR="00EF250D" w:rsidRPr="00034877">
        <w:rPr>
          <w:rFonts w:ascii="Arial" w:hAnsi="Arial" w:cs="Arial"/>
          <w:color w:val="000000" w:themeColor="text1"/>
          <w:sz w:val="22"/>
          <w:szCs w:val="22"/>
        </w:rPr>
        <w:t xml:space="preserve">de los </w:t>
      </w:r>
      <w:r w:rsidR="00EF250D">
        <w:rPr>
          <w:rFonts w:ascii="Arial" w:hAnsi="Arial" w:cs="Arial"/>
          <w:color w:val="000000" w:themeColor="text1"/>
          <w:sz w:val="22"/>
          <w:szCs w:val="22"/>
        </w:rPr>
        <w:t xml:space="preserve">procesos policivos adelantados por </w:t>
      </w:r>
      <w:r w:rsidR="00EF250D" w:rsidRPr="00034877">
        <w:rPr>
          <w:rFonts w:ascii="Arial" w:hAnsi="Arial" w:cs="Arial"/>
          <w:color w:val="000000" w:themeColor="text1"/>
          <w:sz w:val="22"/>
          <w:szCs w:val="22"/>
        </w:rPr>
        <w:t xml:space="preserve">comportamientos contrarios a la </w:t>
      </w:r>
      <w:r w:rsidR="00EF250D">
        <w:rPr>
          <w:rFonts w:ascii="Arial" w:hAnsi="Arial" w:cs="Arial"/>
          <w:color w:val="000000" w:themeColor="text1"/>
          <w:sz w:val="22"/>
          <w:szCs w:val="22"/>
        </w:rPr>
        <w:t>p</w:t>
      </w:r>
      <w:r w:rsidR="00EF250D" w:rsidRPr="00034877">
        <w:rPr>
          <w:rFonts w:ascii="Arial" w:hAnsi="Arial" w:cs="Arial"/>
          <w:color w:val="000000" w:themeColor="text1"/>
          <w:sz w:val="22"/>
          <w:szCs w:val="22"/>
        </w:rPr>
        <w:t xml:space="preserve">rotección y </w:t>
      </w:r>
      <w:r w:rsidR="00EF250D">
        <w:rPr>
          <w:rFonts w:ascii="Arial" w:hAnsi="Arial" w:cs="Arial"/>
          <w:color w:val="000000" w:themeColor="text1"/>
          <w:sz w:val="22"/>
          <w:szCs w:val="22"/>
        </w:rPr>
        <w:t>c</w:t>
      </w:r>
      <w:r w:rsidR="00EF250D" w:rsidRPr="00034877">
        <w:rPr>
          <w:rFonts w:ascii="Arial" w:hAnsi="Arial" w:cs="Arial"/>
          <w:color w:val="000000" w:themeColor="text1"/>
          <w:sz w:val="22"/>
          <w:szCs w:val="22"/>
        </w:rPr>
        <w:t xml:space="preserve">onservación del Patrimonio Cultural de los inmuebles </w:t>
      </w:r>
      <w:r w:rsidR="00EF250D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y </w:t>
      </w:r>
      <w:r w:rsidR="00EF25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="00EF250D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ectores declarados como Bienes  </w:t>
      </w:r>
      <w:r w:rsidR="00EF250D" w:rsidRPr="00034877">
        <w:rPr>
          <w:rFonts w:ascii="Arial" w:hAnsi="Arial" w:cs="Arial"/>
          <w:color w:val="000000" w:themeColor="text1"/>
          <w:sz w:val="22"/>
          <w:szCs w:val="22"/>
        </w:rPr>
        <w:t>de Interés Cultural del ámbito distrital</w:t>
      </w:r>
      <w:r w:rsidR="00E6623B" w:rsidRPr="0003487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B5829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</w:p>
    <w:p w14:paraId="03DD9CCD" w14:textId="67D514A6" w:rsidR="00BA02B5" w:rsidRPr="00034877" w:rsidRDefault="00BA02B5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74861CA3" w14:textId="1BD251E1" w:rsidR="00BA02B5" w:rsidRPr="00034877" w:rsidRDefault="00BA02B5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</w:rPr>
        <w:t>Que el Decreto Distrital 340 de</w:t>
      </w:r>
      <w:r w:rsidR="00832BDF"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>2020 modificó la estructura organizacional de la Secretaría Distrital de Cultura, Recreación y Deporte y en</w:t>
      </w:r>
      <w:r w:rsidR="004F1D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0073">
        <w:rPr>
          <w:rFonts w:ascii="Arial" w:hAnsi="Arial" w:cs="Arial"/>
          <w:color w:val="000000" w:themeColor="text1"/>
          <w:sz w:val="22"/>
          <w:szCs w:val="22"/>
        </w:rPr>
        <w:t>los</w:t>
      </w:r>
      <w:r w:rsidR="004F1D4D">
        <w:rPr>
          <w:rFonts w:ascii="Arial" w:hAnsi="Arial" w:cs="Arial"/>
          <w:color w:val="000000" w:themeColor="text1"/>
          <w:sz w:val="22"/>
          <w:szCs w:val="22"/>
        </w:rPr>
        <w:t xml:space="preserve"> literal</w:t>
      </w:r>
      <w:r w:rsidR="001F0073">
        <w:rPr>
          <w:rFonts w:ascii="Arial" w:hAnsi="Arial" w:cs="Arial"/>
          <w:color w:val="000000" w:themeColor="text1"/>
          <w:sz w:val="22"/>
          <w:szCs w:val="22"/>
        </w:rPr>
        <w:t>es</w:t>
      </w:r>
      <w:r w:rsidR="004F1D4D">
        <w:rPr>
          <w:rFonts w:ascii="Arial" w:hAnsi="Arial" w:cs="Arial"/>
          <w:color w:val="000000" w:themeColor="text1"/>
          <w:sz w:val="22"/>
          <w:szCs w:val="22"/>
        </w:rPr>
        <w:t xml:space="preserve"> b) del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1D4D">
        <w:rPr>
          <w:rFonts w:ascii="Arial" w:hAnsi="Arial" w:cs="Arial"/>
          <w:color w:val="000000" w:themeColor="text1"/>
          <w:sz w:val="22"/>
          <w:szCs w:val="22"/>
        </w:rPr>
        <w:t>A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>rtículo 3</w:t>
      </w:r>
      <w:r w:rsidR="004F1D4D">
        <w:rPr>
          <w:rFonts w:ascii="Arial" w:hAnsi="Arial" w:cs="Arial"/>
          <w:color w:val="000000" w:themeColor="text1"/>
          <w:sz w:val="22"/>
          <w:szCs w:val="22"/>
        </w:rPr>
        <w:t>º</w:t>
      </w:r>
      <w:r w:rsidR="001F0073">
        <w:rPr>
          <w:rFonts w:ascii="Arial" w:hAnsi="Arial" w:cs="Arial"/>
          <w:color w:val="000000" w:themeColor="text1"/>
          <w:sz w:val="22"/>
          <w:szCs w:val="22"/>
        </w:rPr>
        <w:t xml:space="preserve"> y n) del Artículo 5º </w:t>
      </w:r>
      <w:r w:rsidR="004F1D4D">
        <w:rPr>
          <w:rFonts w:ascii="Arial" w:hAnsi="Arial" w:cs="Arial"/>
          <w:color w:val="000000" w:themeColor="text1"/>
          <w:sz w:val="22"/>
          <w:szCs w:val="22"/>
        </w:rPr>
        <w:t>estableció como funciones de esta entidad las de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4877">
        <w:rPr>
          <w:rFonts w:ascii="Arial" w:hAnsi="Arial" w:cs="Arial"/>
          <w:i/>
          <w:color w:val="000000" w:themeColor="text1"/>
          <w:sz w:val="22"/>
          <w:szCs w:val="22"/>
        </w:rPr>
        <w:t>“(…) b. Diseñar estrategias de divulgación y conservación del patrimonio cultural tangible e intangible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 (…)” </w:t>
      </w:r>
      <w:r w:rsidR="001F0073"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Pr="00034877">
        <w:rPr>
          <w:rFonts w:ascii="Arial" w:hAnsi="Arial" w:cs="Arial"/>
          <w:i/>
          <w:color w:val="000000" w:themeColor="text1"/>
          <w:sz w:val="22"/>
          <w:szCs w:val="22"/>
        </w:rPr>
        <w:t>“(...)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4877">
        <w:rPr>
          <w:rFonts w:ascii="Arial" w:hAnsi="Arial" w:cs="Arial"/>
          <w:i/>
          <w:color w:val="000000" w:themeColor="text1"/>
          <w:sz w:val="22"/>
          <w:szCs w:val="22"/>
        </w:rPr>
        <w:t>expedir los actos administrativos y celebrar de acuerdo con su competencia, los contratos y convenios que sean necesarios para el cabal cumplimiento de las funciones de la Secretaría, sin perjuicio de delegar tal responsabilidad en los servidores públicos de la entidad (...)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>”</w:t>
      </w:r>
      <w:r w:rsidR="001F007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8F1AD8" w14:textId="77777777" w:rsidR="0033516D" w:rsidRPr="00034877" w:rsidRDefault="0033516D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0205CD27" w14:textId="3C541F64" w:rsidR="0033516D" w:rsidRPr="00034877" w:rsidRDefault="0033516D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Que el </w:t>
      </w:r>
      <w:r w:rsidR="000D08F4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rtículo 19 del </w:t>
      </w:r>
      <w:r w:rsidR="003912BD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men</w:t>
      </w:r>
      <w:r w:rsidR="006A2C03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c</w:t>
      </w:r>
      <w:r w:rsidR="003912BD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ionado d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ecreto </w:t>
      </w:r>
      <w:r w:rsidR="00762665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asignó</w:t>
      </w:r>
      <w:r w:rsidR="0078165E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, entre otras,</w:t>
      </w:r>
      <w:r w:rsidR="003B4EB4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a </w:t>
      </w:r>
      <w:r w:rsidR="003B4EB4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la Dirección Arte, Cultura y Patrimonio</w:t>
      </w:r>
      <w:r w:rsidR="0078165E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la funci</w:t>
      </w:r>
      <w:r w:rsidR="003B4EB4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ón de</w:t>
      </w:r>
      <w:r w:rsidR="00EB6E43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:</w:t>
      </w:r>
      <w:r w:rsidR="003B4EB4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Pr="00034877"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  <w:t>“i. Conocer en primera instancia de los comportamientos contrarios a la Protección y Conservación del Patrimonio Cultural de los inmuebles y Sectores declarados como Bienes de interés Cultural del Distrito Capital y sus colindantes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”</w:t>
      </w:r>
      <w:r w:rsidR="00B558C4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y</w:t>
      </w:r>
      <w:r w:rsidR="00504FC9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B558C4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el literal g) del A</w:t>
      </w:r>
      <w:r w:rsidR="00504FC9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rtículo 21</w:t>
      </w:r>
      <w:r w:rsidR="00B558C4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atribuyó</w:t>
      </w:r>
      <w:r w:rsidR="00504FC9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a la Subdirección de Infraestructura y Patrimonio Cultural la función de</w:t>
      </w:r>
      <w:r w:rsidR="00504FC9" w:rsidRPr="000348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504FC9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“Evaluar los comportamientos contrarios a la Protección y Conservación del Patrimonio Cultural de los inmuebles y Sectores declarados como Bienes de interés Cultural del Distrito Capital y sus Colindantes, que conlleven a un deterioro de la estructura del inmueble y puesta en riesgo de los valores culturales</w:t>
      </w:r>
      <w:r w:rsidR="000B3C80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,</w:t>
      </w:r>
      <w:r w:rsidR="00504FC9" w:rsidRPr="0003487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 históricos, arquitectónicos, patrimoniales, urbanísticos o paisajísticos del inmueble o sector de la ciudad, por los cuales fueron declarados”</w:t>
      </w:r>
      <w:r w:rsidR="00B558C4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.</w:t>
      </w:r>
    </w:p>
    <w:p w14:paraId="1800FD56" w14:textId="79037C31" w:rsidR="0088678D" w:rsidRPr="00034877" w:rsidRDefault="0088678D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15C06D99" w14:textId="10C4BFE8" w:rsidR="0088678D" w:rsidRPr="00034877" w:rsidRDefault="0088678D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Que el Sistema Nacional de Patrimonio Cultural, el </w:t>
      </w:r>
      <w:r w:rsidR="00821C25">
        <w:rPr>
          <w:rFonts w:ascii="Arial" w:hAnsi="Arial" w:cs="Arial"/>
          <w:color w:val="000000" w:themeColor="text1"/>
          <w:sz w:val="22"/>
          <w:szCs w:val="22"/>
        </w:rPr>
        <w:t>r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égimen </w:t>
      </w:r>
      <w:r w:rsidR="00821C25">
        <w:rPr>
          <w:rFonts w:ascii="Arial" w:hAnsi="Arial" w:cs="Arial"/>
          <w:color w:val="000000" w:themeColor="text1"/>
          <w:sz w:val="22"/>
          <w:szCs w:val="22"/>
        </w:rPr>
        <w:t>e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special de </w:t>
      </w:r>
      <w:r w:rsidR="00821C25">
        <w:rPr>
          <w:rFonts w:ascii="Arial" w:hAnsi="Arial" w:cs="Arial"/>
          <w:color w:val="000000" w:themeColor="text1"/>
          <w:sz w:val="22"/>
          <w:szCs w:val="22"/>
        </w:rPr>
        <w:t>p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>rotección de los Bienes de Interés Cultural y los instrumentos y procedimientos que se deben adelantar para la salvaguarda, protección, sostenibilidad y divulgación del patrimonio cultural</w:t>
      </w:r>
      <w:r w:rsidR="00821C25">
        <w:rPr>
          <w:rFonts w:ascii="Arial" w:hAnsi="Arial" w:cs="Arial"/>
          <w:color w:val="000000" w:themeColor="text1"/>
          <w:sz w:val="22"/>
          <w:szCs w:val="22"/>
        </w:rPr>
        <w:t xml:space="preserve"> se encuentran regulados y definidos en </w:t>
      </w:r>
      <w:r w:rsidR="00651DE6">
        <w:rPr>
          <w:rFonts w:ascii="Arial" w:hAnsi="Arial" w:cs="Arial"/>
          <w:color w:val="000000" w:themeColor="text1"/>
          <w:sz w:val="22"/>
          <w:szCs w:val="22"/>
        </w:rPr>
        <w:t>disposiciones legales</w:t>
      </w:r>
      <w:r w:rsidR="00821C25">
        <w:rPr>
          <w:rFonts w:ascii="Arial" w:hAnsi="Arial" w:cs="Arial"/>
          <w:color w:val="000000" w:themeColor="text1"/>
          <w:sz w:val="22"/>
          <w:szCs w:val="22"/>
        </w:rPr>
        <w:t xml:space="preserve"> de carácter nacional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DE6">
        <w:rPr>
          <w:rFonts w:ascii="Arial" w:hAnsi="Arial" w:cs="Arial"/>
          <w:color w:val="000000" w:themeColor="text1"/>
          <w:sz w:val="22"/>
          <w:szCs w:val="22"/>
        </w:rPr>
        <w:t xml:space="preserve">que tienen una 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superior jerarquía </w:t>
      </w:r>
      <w:r w:rsidR="00651DE6">
        <w:rPr>
          <w:rFonts w:ascii="Arial" w:hAnsi="Arial" w:cs="Arial"/>
          <w:color w:val="000000" w:themeColor="text1"/>
          <w:sz w:val="22"/>
          <w:szCs w:val="22"/>
        </w:rPr>
        <w:t>y prevalecen frente a cualquier otra disposición territorial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>.</w:t>
      </w:r>
      <w:r w:rsidR="006515C1"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39C0E3C" w14:textId="70396C43" w:rsidR="0033516D" w:rsidRPr="00034877" w:rsidRDefault="0033516D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31025048" w14:textId="258C90E1" w:rsidR="0075718E" w:rsidRPr="00034877" w:rsidRDefault="00537356" w:rsidP="00E25547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Que la Subdirección de Infraestructura y Patrimonio Cultural, la Dirección de Arte Cultura y Patrimonio</w:t>
      </w:r>
      <w:r w:rsidR="00EF77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y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la Oficina </w:t>
      </w:r>
      <w:r w:rsidR="00DA3E82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Asesora J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urídica de esta Secretaría </w:t>
      </w:r>
      <w:r w:rsidR="000C344F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adelantaron</w:t>
      </w:r>
      <w:r w:rsidR="00E2554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mesas de trabajo en el año 2022</w:t>
      </w:r>
      <w:r w:rsidR="00EF77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y 2023</w:t>
      </w:r>
      <w:r w:rsidR="00E2554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, orientadas a </w:t>
      </w:r>
      <w:r w:rsidR="00EF77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defini</w:t>
      </w:r>
      <w:r w:rsidR="00E2554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r </w:t>
      </w:r>
      <w:r w:rsidR="009D14C3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y precisar </w:t>
      </w:r>
      <w:r w:rsidR="00E2554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la competencia y el procedimiento a</w:t>
      </w:r>
      <w:r w:rsidR="009D14C3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plicable</w:t>
      </w:r>
      <w:r w:rsidR="00E2554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frente a los comportamientos contrarios a la protección y conservación del patrimonio cultural</w:t>
      </w:r>
      <w:r w:rsidR="009D14C3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previstos en</w:t>
      </w:r>
      <w:r w:rsidR="00E2554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la Ley 1801 de 2016 “</w:t>
      </w:r>
      <w:r w:rsidR="00E25547" w:rsidRPr="00034877">
        <w:rPr>
          <w:rFonts w:ascii="Arial" w:hAnsi="Arial" w:cs="Arial"/>
          <w:i/>
          <w:iCs/>
          <w:color w:val="000000" w:themeColor="text1"/>
          <w:sz w:val="22"/>
          <w:szCs w:val="22"/>
          <w:lang w:val="es-MX" w:eastAsia="es-MX" w:bidi="ar-SA"/>
        </w:rPr>
        <w:t>Código Nacional de Seguridad y Convivencia Ciudadana</w:t>
      </w:r>
      <w:r w:rsidR="00E2554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”</w:t>
      </w:r>
      <w:r w:rsidR="009D14C3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.</w:t>
      </w:r>
      <w:r w:rsidR="00E2554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9D14C3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Lo anterior, con el fin de adelantar los trámites correspondientes en el marco de las disposiciones legales nacionales y distritales vigentes y dar cumplimiento a la función asignada a esta entidad relativa a la protección y conservación del patrimonio cultural del Distrito Capital.</w:t>
      </w:r>
    </w:p>
    <w:p w14:paraId="5563293B" w14:textId="15AAD9BF" w:rsidR="0075718E" w:rsidRPr="00034877" w:rsidRDefault="0075718E" w:rsidP="00E25547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65FB31DC" w14:textId="64849489" w:rsidR="00537356" w:rsidRPr="00034877" w:rsidRDefault="000E2B6B" w:rsidP="00E25547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Que</w:t>
      </w:r>
      <w:r w:rsidR="009D14C3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,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9D14C3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en las mencionadas mesas de trabajo se concluyó que </w:t>
      </w:r>
      <w:r w:rsidR="009158A4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es necesario derogar </w:t>
      </w:r>
      <w:r w:rsidR="00537356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la Resolución 332 del 17 de julio de 2020</w:t>
      </w:r>
      <w:r w:rsidR="00623225" w:rsidRPr="00034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58A4">
        <w:rPr>
          <w:rFonts w:ascii="Arial" w:hAnsi="Arial" w:cs="Arial"/>
          <w:color w:val="000000" w:themeColor="text1"/>
          <w:sz w:val="22"/>
          <w:szCs w:val="22"/>
        </w:rPr>
        <w:t xml:space="preserve">en razón a que las competencias y los procedimientos para </w:t>
      </w:r>
      <w:r w:rsidR="0009723C">
        <w:rPr>
          <w:rFonts w:ascii="Arial" w:hAnsi="Arial" w:cs="Arial"/>
          <w:color w:val="000000" w:themeColor="text1"/>
          <w:sz w:val="22"/>
          <w:szCs w:val="22"/>
        </w:rPr>
        <w:t xml:space="preserve">prevenir y sancionar los comportamientos </w:t>
      </w:r>
      <w:r w:rsidR="0009723C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contrarios a la protección y conservación del patrimonio cultural</w:t>
      </w:r>
      <w:r w:rsidR="0009723C">
        <w:rPr>
          <w:rFonts w:ascii="Arial" w:hAnsi="Arial" w:cs="Arial"/>
          <w:color w:val="000000" w:themeColor="text1"/>
          <w:sz w:val="22"/>
          <w:szCs w:val="22"/>
        </w:rPr>
        <w:t xml:space="preserve"> se encuentran regulados de manera completa en las disposiciones legales vigentes del orden nacional y distrital</w:t>
      </w:r>
      <w:r w:rsidR="00B337D2" w:rsidRPr="0003487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CA927E6" w14:textId="77777777" w:rsidR="0033516D" w:rsidRPr="00034877" w:rsidRDefault="0033516D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eastAsia="es-MX" w:bidi="ar-SA"/>
        </w:rPr>
      </w:pPr>
    </w:p>
    <w:p w14:paraId="606C9651" w14:textId="6C7C8863" w:rsidR="0033516D" w:rsidRPr="00034877" w:rsidRDefault="0005396D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eastAsia="es-MX" w:bidi="ar-SA"/>
        </w:rPr>
        <w:t>Que</w:t>
      </w:r>
      <w:r w:rsidR="00262DB8">
        <w:rPr>
          <w:rFonts w:ascii="Arial" w:hAnsi="Arial" w:cs="Arial"/>
          <w:color w:val="000000" w:themeColor="text1"/>
          <w:sz w:val="22"/>
          <w:szCs w:val="22"/>
          <w:lang w:eastAsia="es-MX" w:bidi="ar-SA"/>
        </w:rPr>
        <w:t>,</w:t>
      </w:r>
      <w:r w:rsidRPr="00034877">
        <w:rPr>
          <w:rFonts w:ascii="Arial" w:hAnsi="Arial" w:cs="Arial"/>
          <w:color w:val="000000" w:themeColor="text1"/>
          <w:sz w:val="22"/>
          <w:szCs w:val="22"/>
          <w:lang w:eastAsia="es-MX" w:bidi="ar-SA"/>
        </w:rPr>
        <w:t xml:space="preserve"> </w:t>
      </w:r>
      <w:r w:rsidR="000972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con el fin de garantizar 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los principios </w:t>
      </w:r>
      <w:r w:rsidR="000972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de legalidad, eficacia y economía 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que rigen la</w:t>
      </w:r>
      <w:r w:rsidR="000972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s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actuaci</w:t>
      </w:r>
      <w:r w:rsidR="000972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o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n</w:t>
      </w:r>
      <w:r w:rsidR="000972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es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administrativa</w:t>
      </w:r>
      <w:r w:rsidR="000972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s</w:t>
      </w:r>
      <w:r w:rsidR="00262DB8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,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09723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es procedente 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derogar la Resolución No. 332 del 17 de julio de 2020</w:t>
      </w:r>
      <w:r w:rsidR="00681B53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.</w:t>
      </w:r>
    </w:p>
    <w:p w14:paraId="40CF939E" w14:textId="77777777" w:rsidR="0033516D" w:rsidRPr="00034877" w:rsidRDefault="0033516D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765EE757" w14:textId="684018EF" w:rsidR="0033516D" w:rsidRPr="00034877" w:rsidRDefault="0033516D" w:rsidP="0033516D">
      <w:pPr>
        <w:widowControl/>
        <w:shd w:val="clear" w:color="auto" w:fill="FFFFFF"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Que, en mérito de lo </w:t>
      </w:r>
      <w:r w:rsidR="00262DB8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expuesto y con sustento en las disposiciones legales descritas</w:t>
      </w:r>
    </w:p>
    <w:p w14:paraId="31DDF7BB" w14:textId="77777777" w:rsidR="0033516D" w:rsidRPr="00034877" w:rsidRDefault="0033516D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 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ab/>
        <w:t xml:space="preserve">  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ab/>
        <w:t>  </w:t>
      </w:r>
    </w:p>
    <w:p w14:paraId="2B7595FB" w14:textId="08920F0C" w:rsidR="0033516D" w:rsidRPr="00034877" w:rsidRDefault="0033516D" w:rsidP="0033516D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RESUELVE</w:t>
      </w:r>
      <w:r w:rsidR="00C249DE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:</w:t>
      </w:r>
    </w:p>
    <w:p w14:paraId="590777E1" w14:textId="77777777" w:rsidR="0033516D" w:rsidRPr="00034877" w:rsidRDefault="0033516D" w:rsidP="0033516D">
      <w:pPr>
        <w:widowControl/>
        <w:suppressAutoHyphens w:val="0"/>
        <w:overflowPunct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04433D0D" w14:textId="3FFE9AFA" w:rsidR="002D11F8" w:rsidRPr="00034877" w:rsidRDefault="0033516D" w:rsidP="00992215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Artículo Primero.</w:t>
      </w:r>
      <w:r w:rsidR="003B038C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3B038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D</w:t>
      </w:r>
      <w:r w:rsidR="003B038C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eroga</w:t>
      </w:r>
      <w:r w:rsidR="003B038C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r</w:t>
      </w:r>
      <w:r w:rsidR="003B038C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la Resolución 332 del 17 de julio de 2020 y demás actos que </w:t>
      </w:r>
      <w:r w:rsidR="00C249DE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sean contrarios a las disposciones legales y reglamentarias expuestas en la parte motiva de esta resolución</w:t>
      </w:r>
      <w:r w:rsidR="003B038C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.</w:t>
      </w:r>
    </w:p>
    <w:p w14:paraId="55E8EC4C" w14:textId="77777777" w:rsidR="0033516D" w:rsidRPr="00034877" w:rsidRDefault="0033516D" w:rsidP="0033516D">
      <w:pPr>
        <w:widowControl/>
        <w:suppressAutoHyphens w:val="0"/>
        <w:overflowPunct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63BDFBB2" w14:textId="4833D0F8" w:rsidR="0033516D" w:rsidRPr="00034877" w:rsidRDefault="0033516D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 xml:space="preserve">Artículo </w:t>
      </w:r>
      <w:r w:rsidR="00213370"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Segundo</w:t>
      </w: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 xml:space="preserve">: 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Ordenar a la Dirección de Gestión Corporativa y Relación con el Ciudadano de la entidad</w:t>
      </w:r>
      <w:r w:rsidR="007046A6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,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comunicar la presente resolución a la Dirección de Arte, Cultura y Patrimonio, a la Subdirección de Infraestructura y Patrimonio Cultura y a la de la Oficina Jurídica de esta Secretaría, para lo de su competencia.</w:t>
      </w:r>
    </w:p>
    <w:p w14:paraId="0BA461F3" w14:textId="3C4E4E51" w:rsidR="00D8438A" w:rsidRPr="00034877" w:rsidRDefault="00D8438A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231F4541" w14:textId="1AF1A6A1" w:rsidR="00D8438A" w:rsidRPr="00034877" w:rsidRDefault="006E246D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 xml:space="preserve">Artículo </w:t>
      </w:r>
      <w:r w:rsidR="00213370" w:rsidRPr="00034877">
        <w:rPr>
          <w:rFonts w:ascii="Arial" w:hAnsi="Arial" w:cs="Arial"/>
          <w:b/>
          <w:bCs/>
          <w:color w:val="000000" w:themeColor="text1"/>
          <w:sz w:val="22"/>
          <w:szCs w:val="22"/>
        </w:rPr>
        <w:t>Tercero</w:t>
      </w:r>
      <w:r w:rsidR="00D8438A" w:rsidRPr="00034877">
        <w:rPr>
          <w:rFonts w:ascii="Arial" w:hAnsi="Arial" w:cs="Arial"/>
          <w:color w:val="000000" w:themeColor="text1"/>
          <w:sz w:val="22"/>
          <w:szCs w:val="22"/>
        </w:rPr>
        <w:t>: Ordenar a la Dirección de Gestión Corporativa de la entidad, la publicación en la Gaceta Distrital y en el Régimen Legal de Bogotá</w:t>
      </w:r>
      <w:r w:rsidR="00357DD0" w:rsidRPr="0003487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9FE731" w14:textId="7874F779" w:rsidR="00BE0BB7" w:rsidRPr="00034877" w:rsidRDefault="00BE0BB7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2F34B7E3" w14:textId="74B4E853" w:rsidR="0033516D" w:rsidRPr="00034877" w:rsidRDefault="00BE0BB7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 xml:space="preserve">Artículo </w:t>
      </w:r>
      <w:r w:rsidR="00213370"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Cuarto</w:t>
      </w:r>
      <w:r w:rsidRPr="00034877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La presente resolución rige a partir de la fecha de su publicación</w:t>
      </w:r>
      <w:r w:rsidR="004932E7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.</w:t>
      </w:r>
    </w:p>
    <w:p w14:paraId="147F58EF" w14:textId="77777777" w:rsidR="0033516D" w:rsidRPr="00034877" w:rsidRDefault="0033516D" w:rsidP="0033516D">
      <w:pPr>
        <w:widowControl/>
        <w:suppressAutoHyphens w:val="0"/>
        <w:overflowPunct/>
        <w:spacing w:after="240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748377A7" w14:textId="04D1ABF8" w:rsidR="0033516D" w:rsidRPr="00034877" w:rsidRDefault="00D8438A" w:rsidP="00C84C52">
      <w:pPr>
        <w:widowControl/>
        <w:suppressAutoHyphens w:val="0"/>
        <w:overflowPunct/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b/>
          <w:color w:val="000000" w:themeColor="text1"/>
          <w:sz w:val="22"/>
          <w:szCs w:val="22"/>
        </w:rPr>
        <w:t>PUBLÍQUESE, COMUNÍQUESE Y CÚMPLASE</w:t>
      </w:r>
    </w:p>
    <w:p w14:paraId="72922FA9" w14:textId="77777777" w:rsidR="0033516D" w:rsidRPr="00034877" w:rsidRDefault="0033516D" w:rsidP="0033516D">
      <w:pPr>
        <w:widowControl/>
        <w:suppressAutoHyphens w:val="0"/>
        <w:overflowPunct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6D3B591B" w14:textId="6B0A6358" w:rsidR="0033516D" w:rsidRPr="00034877" w:rsidRDefault="0033516D" w:rsidP="0033516D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Dada en Bogotá D.C., a los xxxxx (xx) días del mes de</w:t>
      </w:r>
      <w:r w:rsidR="004F0BA1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C249DE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mayo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de </w:t>
      </w:r>
      <w:r w:rsidR="007907EB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2023</w:t>
      </w: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.</w:t>
      </w:r>
    </w:p>
    <w:p w14:paraId="18D6649C" w14:textId="299DE355" w:rsidR="0033516D" w:rsidRDefault="0033516D" w:rsidP="00386C52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2926EE06" w14:textId="55863438" w:rsidR="004F0BA1" w:rsidRDefault="004F0BA1" w:rsidP="00386C52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188E3298" w14:textId="2237BA6D" w:rsidR="004F0BA1" w:rsidRDefault="004F0BA1" w:rsidP="00386C52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4EF7ACD5" w14:textId="0EAE3AED" w:rsidR="004F0BA1" w:rsidRDefault="004F0BA1" w:rsidP="00386C52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4D175DE1" w14:textId="77777777" w:rsidR="004F0BA1" w:rsidRPr="00034877" w:rsidRDefault="004F0BA1" w:rsidP="00386C52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73DE7BA0" w14:textId="3A0EF649" w:rsidR="0033516D" w:rsidRPr="00034877" w:rsidRDefault="004F0BA1" w:rsidP="00386C52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b/>
          <w:bCs/>
          <w:color w:val="000000" w:themeColor="text1"/>
          <w:sz w:val="22"/>
          <w:szCs w:val="22"/>
          <w:lang w:val="es-MX" w:eastAsia="es-MX" w:bidi="ar-SA"/>
        </w:rPr>
        <w:t>Catalina Valencia Tobón</w:t>
      </w:r>
    </w:p>
    <w:p w14:paraId="1099ACAE" w14:textId="364C5677" w:rsidR="008D5F78" w:rsidRPr="004F0BA1" w:rsidRDefault="004F0BA1" w:rsidP="004F0BA1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  <w:r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S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ecretari</w:t>
      </w:r>
      <w:r w:rsidR="00386C52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>a</w:t>
      </w:r>
      <w:r w:rsidR="0033516D" w:rsidRPr="00034877"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  <w:t xml:space="preserve"> </w:t>
      </w:r>
      <w:r w:rsidR="008D5F78" w:rsidRPr="00034877">
        <w:rPr>
          <w:rFonts w:ascii="Arial" w:hAnsi="Arial" w:cs="Arial"/>
          <w:color w:val="000000" w:themeColor="text1"/>
          <w:sz w:val="22"/>
          <w:szCs w:val="22"/>
        </w:rPr>
        <w:t>de Cultura, Recreación y Deporte</w:t>
      </w:r>
    </w:p>
    <w:p w14:paraId="0922C275" w14:textId="1B26605D" w:rsidR="00B35F70" w:rsidRPr="00034877" w:rsidRDefault="00B35F70" w:rsidP="00386C52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2A4B8177" w14:textId="77777777" w:rsidR="00B35F70" w:rsidRPr="00034877" w:rsidRDefault="00B35F70" w:rsidP="00386C52">
      <w:pPr>
        <w:widowControl/>
        <w:suppressAutoHyphens w:val="0"/>
        <w:overflowPunct/>
        <w:jc w:val="center"/>
        <w:rPr>
          <w:rFonts w:ascii="Arial" w:hAnsi="Arial" w:cs="Arial"/>
          <w:color w:val="000000" w:themeColor="text1"/>
          <w:sz w:val="22"/>
          <w:szCs w:val="22"/>
          <w:lang w:val="es-MX" w:eastAsia="es-MX" w:bidi="ar-SA"/>
        </w:rPr>
      </w:pPr>
    </w:p>
    <w:p w14:paraId="07E6D3AB" w14:textId="48B7909B" w:rsidR="00B35F70" w:rsidRPr="004F0BA1" w:rsidRDefault="00B35F70" w:rsidP="004F0BA1">
      <w:pPr>
        <w:widowControl/>
        <w:suppressAutoHyphens w:val="0"/>
        <w:overflowPunct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F0BA1">
        <w:rPr>
          <w:rFonts w:ascii="Arial" w:hAnsi="Arial" w:cs="Arial"/>
          <w:color w:val="000000" w:themeColor="text1"/>
          <w:sz w:val="16"/>
          <w:szCs w:val="16"/>
        </w:rPr>
        <w:t>Proyectó:         Zuly Viviana Molano / Jennyfer Andrea Estévez / Charon Daniela Martínez / José de San Martin Ibáñez</w:t>
      </w:r>
    </w:p>
    <w:p w14:paraId="25393468" w14:textId="5DC9EC2B" w:rsidR="00B35F70" w:rsidRPr="004F0BA1" w:rsidRDefault="00B35F70" w:rsidP="004F0BA1">
      <w:pPr>
        <w:tabs>
          <w:tab w:val="left" w:pos="0"/>
          <w:tab w:val="left" w:pos="1701"/>
          <w:tab w:val="left" w:pos="2127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F0BA1">
        <w:rPr>
          <w:rFonts w:ascii="Arial" w:hAnsi="Arial" w:cs="Arial"/>
          <w:color w:val="000000" w:themeColor="text1"/>
          <w:sz w:val="16"/>
          <w:szCs w:val="16"/>
        </w:rPr>
        <w:t>Revisó:              Ariel Rodrigo Fernández Baca / Maurizio Toscano Giraldo</w:t>
      </w:r>
      <w:r w:rsidR="00871C35" w:rsidRPr="004F0BA1">
        <w:rPr>
          <w:rFonts w:ascii="Arial" w:hAnsi="Arial" w:cs="Arial"/>
          <w:color w:val="000000" w:themeColor="text1"/>
          <w:sz w:val="16"/>
          <w:szCs w:val="16"/>
        </w:rPr>
        <w:t>/ Andrés Camilo Vesga Blanco</w:t>
      </w:r>
    </w:p>
    <w:p w14:paraId="2FCD1216" w14:textId="0F337D04" w:rsidR="00B35F70" w:rsidRPr="004F0BA1" w:rsidRDefault="00B35F70" w:rsidP="004F0BA1">
      <w:pPr>
        <w:tabs>
          <w:tab w:val="left" w:pos="0"/>
          <w:tab w:val="left" w:pos="1701"/>
          <w:tab w:val="left" w:pos="2127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F0BA1">
        <w:rPr>
          <w:rFonts w:ascii="Arial" w:hAnsi="Arial" w:cs="Arial"/>
          <w:color w:val="000000" w:themeColor="text1"/>
          <w:sz w:val="16"/>
          <w:szCs w:val="16"/>
        </w:rPr>
        <w:t>Aprobó:</w:t>
      </w:r>
      <w:r w:rsidR="00871C35" w:rsidRPr="004F0BA1">
        <w:rPr>
          <w:rFonts w:ascii="Arial" w:hAnsi="Arial" w:cs="Arial"/>
          <w:color w:val="000000" w:themeColor="text1"/>
          <w:sz w:val="16"/>
          <w:szCs w:val="16"/>
        </w:rPr>
        <w:t xml:space="preserve">  Margarita María R</w:t>
      </w:r>
      <w:r w:rsidR="004F0BA1">
        <w:rPr>
          <w:rFonts w:ascii="Arial" w:hAnsi="Arial" w:cs="Arial"/>
          <w:color w:val="000000" w:themeColor="text1"/>
          <w:sz w:val="16"/>
          <w:szCs w:val="16"/>
        </w:rPr>
        <w:t>ú</w:t>
      </w:r>
      <w:r w:rsidR="00871C35" w:rsidRPr="004F0BA1">
        <w:rPr>
          <w:rFonts w:ascii="Arial" w:hAnsi="Arial" w:cs="Arial"/>
          <w:color w:val="000000" w:themeColor="text1"/>
          <w:sz w:val="16"/>
          <w:szCs w:val="16"/>
        </w:rPr>
        <w:t>a Atehort</w:t>
      </w:r>
      <w:r w:rsidR="004F0BA1">
        <w:rPr>
          <w:rFonts w:ascii="Arial" w:hAnsi="Arial" w:cs="Arial"/>
          <w:color w:val="000000" w:themeColor="text1"/>
          <w:sz w:val="16"/>
          <w:szCs w:val="16"/>
        </w:rPr>
        <w:t>ú</w:t>
      </w:r>
      <w:r w:rsidR="00871C35" w:rsidRPr="004F0BA1">
        <w:rPr>
          <w:rFonts w:ascii="Arial" w:hAnsi="Arial" w:cs="Arial"/>
          <w:color w:val="000000" w:themeColor="text1"/>
          <w:sz w:val="16"/>
          <w:szCs w:val="16"/>
        </w:rPr>
        <w:t>a</w:t>
      </w:r>
    </w:p>
    <w:sectPr w:rsidR="00B35F70" w:rsidRPr="004F0B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571" w:right="1701" w:bottom="2291" w:left="1701" w:header="680" w:footer="851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E3A3" w14:textId="77777777" w:rsidR="00D177EA" w:rsidRDefault="00D177EA">
      <w:r>
        <w:separator/>
      </w:r>
    </w:p>
  </w:endnote>
  <w:endnote w:type="continuationSeparator" w:id="0">
    <w:p w14:paraId="3DA1E984" w14:textId="77777777" w:rsidR="00D177EA" w:rsidRDefault="00D1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2095" w14:textId="77777777" w:rsidR="00C97E4E" w:rsidRDefault="00C97E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D223" w14:textId="77777777" w:rsidR="0064020C" w:rsidRDefault="0064020C" w:rsidP="0064020C">
    <w:pPr>
      <w:pStyle w:val="Piedepgina"/>
      <w:tabs>
        <w:tab w:val="clear" w:pos="4987"/>
        <w:tab w:val="clear" w:pos="9974"/>
        <w:tab w:val="left" w:pos="1820"/>
      </w:tabs>
    </w:pPr>
    <w:r>
      <w:tab/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9"/>
      <w:gridCol w:w="1633"/>
      <w:gridCol w:w="2514"/>
      <w:gridCol w:w="1172"/>
    </w:tblGrid>
    <w:tr w:rsidR="0064020C" w14:paraId="7ADB6E95" w14:textId="77777777" w:rsidTr="003037D8">
      <w:tc>
        <w:tcPr>
          <w:tcW w:w="1991" w:type="pct"/>
        </w:tcPr>
        <w:p w14:paraId="6A2FBBEF" w14:textId="43EB5122" w:rsidR="00F30946" w:rsidRPr="00871C35" w:rsidRDefault="00F30946" w:rsidP="00F30946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8"/>
              <w:szCs w:val="18"/>
              <w:lang w:val="pt-BR"/>
            </w:rPr>
          </w:pPr>
          <w:r w:rsidRPr="00871C35">
            <w:rPr>
              <w:rFonts w:ascii="Arial" w:hAnsi="Arial" w:cs="Arial"/>
              <w:color w:val="000000"/>
              <w:sz w:val="18"/>
              <w:szCs w:val="18"/>
              <w:lang w:val="pt-BR"/>
            </w:rPr>
            <w:t>C</w:t>
          </w:r>
          <w:r w:rsidR="007F1C3F" w:rsidRPr="00871C35">
            <w:rPr>
              <w:rFonts w:ascii="Arial" w:hAnsi="Arial" w:cs="Arial"/>
              <w:color w:val="000000"/>
              <w:sz w:val="18"/>
              <w:szCs w:val="18"/>
              <w:lang w:val="pt-BR"/>
            </w:rPr>
            <w:t>arrera</w:t>
          </w:r>
          <w:r w:rsidRPr="00871C35">
            <w:rPr>
              <w:rFonts w:ascii="Arial" w:hAnsi="Arial" w:cs="Arial"/>
              <w:color w:val="000000"/>
              <w:sz w:val="18"/>
              <w:szCs w:val="18"/>
              <w:lang w:val="pt-BR"/>
            </w:rPr>
            <w:t xml:space="preserve"> 8ª No. 9 - 83 Centro</w:t>
          </w:r>
        </w:p>
        <w:p w14:paraId="4449AB1F" w14:textId="77777777" w:rsidR="00F30946" w:rsidRPr="00871C35" w:rsidRDefault="00F30946" w:rsidP="00F30946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8"/>
              <w:szCs w:val="18"/>
              <w:lang w:val="pt-BR"/>
            </w:rPr>
          </w:pPr>
          <w:r w:rsidRPr="00871C35">
            <w:rPr>
              <w:rFonts w:ascii="Arial" w:hAnsi="Arial" w:cs="Arial"/>
              <w:color w:val="000000"/>
              <w:sz w:val="18"/>
              <w:szCs w:val="18"/>
              <w:lang w:val="pt-BR"/>
            </w:rPr>
            <w:t>Tel. 3274850</w:t>
          </w:r>
        </w:p>
        <w:p w14:paraId="5936A24C" w14:textId="77777777" w:rsidR="00F30946" w:rsidRPr="00871C35" w:rsidRDefault="00F30946" w:rsidP="00F30946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8"/>
              <w:szCs w:val="18"/>
              <w:lang w:val="pt-BR"/>
            </w:rPr>
          </w:pPr>
          <w:r w:rsidRPr="00871C35">
            <w:rPr>
              <w:rFonts w:ascii="Arial" w:hAnsi="Arial" w:cs="Arial"/>
              <w:color w:val="000000"/>
              <w:sz w:val="18"/>
              <w:szCs w:val="18"/>
              <w:lang w:val="pt-BR"/>
            </w:rPr>
            <w:t>Código Postal: 111711</w:t>
          </w:r>
        </w:p>
        <w:p w14:paraId="1FFD15E1" w14:textId="77777777" w:rsidR="00F30946" w:rsidRPr="00F30946" w:rsidRDefault="00000000" w:rsidP="00F30946">
          <w:pPr>
            <w:tabs>
              <w:tab w:val="center" w:pos="4419"/>
              <w:tab w:val="right" w:pos="8838"/>
            </w:tabs>
            <w:rPr>
              <w:rStyle w:val="Hipervnculo"/>
              <w:rFonts w:ascii="Arial" w:hAnsi="Arial" w:cs="Arial"/>
              <w:sz w:val="18"/>
              <w:szCs w:val="18"/>
            </w:rPr>
          </w:pPr>
          <w:hyperlink r:id="rId1" w:history="1">
            <w:r w:rsidR="00F30946" w:rsidRPr="00F30946">
              <w:rPr>
                <w:rStyle w:val="Hipervnculo"/>
                <w:rFonts w:ascii="Arial" w:hAnsi="Arial" w:cs="Arial"/>
                <w:sz w:val="18"/>
                <w:szCs w:val="18"/>
              </w:rPr>
              <w:t>www.culturarecreacionydeporte.gov.co</w:t>
            </w:r>
          </w:hyperlink>
        </w:p>
        <w:p w14:paraId="1B9990FA" w14:textId="4B3D0B2A" w:rsidR="0064020C" w:rsidRDefault="00F30946" w:rsidP="00F30946">
          <w:pPr>
            <w:tabs>
              <w:tab w:val="center" w:pos="4419"/>
              <w:tab w:val="right" w:pos="8838"/>
            </w:tabs>
            <w:rPr>
              <w:color w:val="000000"/>
            </w:rPr>
          </w:pPr>
          <w:r w:rsidRPr="00F30946">
            <w:rPr>
              <w:rFonts w:ascii="Arial" w:hAnsi="Arial" w:cs="Arial"/>
              <w:color w:val="000000"/>
              <w:sz w:val="18"/>
              <w:szCs w:val="18"/>
            </w:rPr>
            <w:t>Información: Línea 195</w:t>
          </w:r>
        </w:p>
      </w:tc>
      <w:tc>
        <w:tcPr>
          <w:tcW w:w="924" w:type="pct"/>
        </w:tcPr>
        <w:p w14:paraId="6D5B8E4D" w14:textId="5B8DAA45" w:rsidR="0064020C" w:rsidRDefault="0064020C" w:rsidP="0064020C">
          <w:pPr>
            <w:rPr>
              <w:sz w:val="18"/>
              <w:szCs w:val="18"/>
            </w:rPr>
          </w:pPr>
        </w:p>
        <w:p w14:paraId="6C6F04C0" w14:textId="4F445416" w:rsidR="0064020C" w:rsidRDefault="0064020C" w:rsidP="0064020C">
          <w:pPr>
            <w:rPr>
              <w:sz w:val="18"/>
              <w:szCs w:val="18"/>
            </w:rPr>
          </w:pPr>
        </w:p>
      </w:tc>
      <w:tc>
        <w:tcPr>
          <w:tcW w:w="1422" w:type="pct"/>
        </w:tcPr>
        <w:p w14:paraId="7A161F6D" w14:textId="77777777" w:rsidR="0064020C" w:rsidRDefault="0064020C" w:rsidP="0064020C">
          <w:pPr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</w:p>
        <w:p w14:paraId="3DC0852B" w14:textId="23ACAEFF" w:rsidR="0064020C" w:rsidRPr="00BF6C0C" w:rsidRDefault="00335D82" w:rsidP="0064020C">
          <w:pPr>
            <w:jc w:val="center"/>
            <w:rPr>
              <w:sz w:val="14"/>
              <w:szCs w:val="14"/>
            </w:rPr>
          </w:pPr>
          <w:r w:rsidRPr="00335D82">
            <w:rPr>
              <w:rFonts w:ascii="Arial" w:hAnsi="Arial" w:cs="Arial"/>
              <w:sz w:val="14"/>
              <w:szCs w:val="14"/>
            </w:rPr>
            <w:t>DES-MN-01-FR-05. v1.08/10/2021</w:t>
          </w:r>
        </w:p>
      </w:tc>
      <w:tc>
        <w:tcPr>
          <w:tcW w:w="663" w:type="pct"/>
        </w:tcPr>
        <w:p w14:paraId="1DC1A41B" w14:textId="77777777" w:rsidR="0064020C" w:rsidRPr="0064020C" w:rsidRDefault="0064020C" w:rsidP="0064020C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  <w:color w:val="000000"/>
            </w:rPr>
          </w:pPr>
          <w:r w:rsidRPr="0064020C">
            <w:rPr>
              <w:rFonts w:asciiTheme="minorHAnsi" w:hAnsiTheme="minorHAnsi" w:cstheme="minorHAnsi"/>
              <w:noProof/>
              <w:color w:val="000000"/>
            </w:rPr>
            <w:drawing>
              <wp:inline distT="0" distB="0" distL="0" distR="0" wp14:anchorId="3E709F65" wp14:editId="50AACC01">
                <wp:extent cx="477656" cy="570533"/>
                <wp:effectExtent l="0" t="0" r="508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 bogota color 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747" cy="5885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C15F59" w14:textId="77777777" w:rsidR="0064020C" w:rsidRPr="00335D82" w:rsidRDefault="0064020C" w:rsidP="0064020C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  <w:color w:val="000000"/>
              <w:sz w:val="12"/>
              <w:szCs w:val="12"/>
            </w:rPr>
          </w:pPr>
          <w:r w:rsidRPr="00335D82">
            <w:rPr>
              <w:rFonts w:asciiTheme="minorHAnsi" w:hAnsiTheme="minorHAnsi" w:cstheme="minorHAnsi"/>
              <w:color w:val="000000"/>
              <w:sz w:val="12"/>
              <w:szCs w:val="12"/>
            </w:rPr>
            <w:t>ALCALDÍA MAYOR</w:t>
          </w:r>
        </w:p>
        <w:p w14:paraId="1D73B45F" w14:textId="5A18CD20" w:rsidR="0064020C" w:rsidRDefault="0064020C" w:rsidP="0064020C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335D82">
            <w:rPr>
              <w:rFonts w:asciiTheme="minorHAnsi" w:hAnsiTheme="minorHAnsi" w:cstheme="minorHAnsi"/>
              <w:color w:val="000000"/>
              <w:sz w:val="12"/>
              <w:szCs w:val="12"/>
            </w:rPr>
            <w:t>DE BOGOTÁ D.C.</w:t>
          </w:r>
        </w:p>
      </w:tc>
    </w:tr>
  </w:tbl>
  <w:p w14:paraId="4CD4DA34" w14:textId="536FB02F" w:rsidR="0064020C" w:rsidRPr="0064020C" w:rsidRDefault="0064020C" w:rsidP="0064020C">
    <w:pPr>
      <w:pStyle w:val="Piedepgina"/>
      <w:tabs>
        <w:tab w:val="clear" w:pos="4987"/>
        <w:tab w:val="clear" w:pos="9974"/>
        <w:tab w:val="left" w:pos="182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992" w14:textId="77777777" w:rsidR="00C97E4E" w:rsidRDefault="00C97E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81A8" w14:textId="77777777" w:rsidR="00D177EA" w:rsidRDefault="00D177EA">
      <w:r>
        <w:separator/>
      </w:r>
    </w:p>
  </w:footnote>
  <w:footnote w:type="continuationSeparator" w:id="0">
    <w:p w14:paraId="45205E9F" w14:textId="77777777" w:rsidR="00D177EA" w:rsidRDefault="00D1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52B4" w14:textId="77777777" w:rsidR="00FD7FB8" w:rsidRDefault="00FD7F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00" w:firstRow="0" w:lastRow="0" w:firstColumn="0" w:lastColumn="0" w:noHBand="0" w:noVBand="1"/>
    </w:tblPr>
    <w:tblGrid>
      <w:gridCol w:w="1557"/>
      <w:gridCol w:w="4824"/>
      <w:gridCol w:w="2457"/>
    </w:tblGrid>
    <w:tr w:rsidR="0064020C" w14:paraId="648BA5B1" w14:textId="77777777" w:rsidTr="003E1681">
      <w:tc>
        <w:tcPr>
          <w:tcW w:w="881" w:type="pct"/>
          <w:vAlign w:val="center"/>
        </w:tcPr>
        <w:p w14:paraId="7500910A" w14:textId="77777777" w:rsidR="0064020C" w:rsidRDefault="0064020C" w:rsidP="006402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729" w:type="pct"/>
          <w:vAlign w:val="center"/>
        </w:tcPr>
        <w:p w14:paraId="31C91A41" w14:textId="77777777" w:rsidR="0064020C" w:rsidRDefault="0064020C" w:rsidP="003E16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C6065BE" wp14:editId="792C202F">
                <wp:extent cx="2677431" cy="615501"/>
                <wp:effectExtent l="0" t="0" r="254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431" cy="6155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0" w:type="pct"/>
          <w:vAlign w:val="center"/>
        </w:tcPr>
        <w:p w14:paraId="0B00FF91" w14:textId="0CB62205" w:rsidR="0064020C" w:rsidRDefault="0064020C" w:rsidP="0064020C">
          <w:pPr>
            <w:tabs>
              <w:tab w:val="left" w:pos="1485"/>
            </w:tabs>
            <w:jc w:val="right"/>
            <w:rPr>
              <w:rFonts w:ascii="Code3of9" w:eastAsia="Code3of9" w:hAnsi="Code3of9" w:cs="Code3of9"/>
              <w:sz w:val="22"/>
              <w:szCs w:val="22"/>
            </w:rPr>
          </w:pPr>
          <w:r w:rsidRPr="003E1681">
            <w:rPr>
              <w:rFonts w:ascii="Code3of9" w:eastAsia="Code3of9" w:hAnsi="Code3of9" w:cs="Code3of9"/>
              <w:sz w:val="22"/>
              <w:szCs w:val="22"/>
            </w:rPr>
            <w:t>*RAD_S*</w:t>
          </w:r>
        </w:p>
        <w:p w14:paraId="32DD0363" w14:textId="77777777" w:rsidR="0064020C" w:rsidRDefault="0064020C" w:rsidP="0064020C">
          <w:pPr>
            <w:tabs>
              <w:tab w:val="left" w:pos="1485"/>
            </w:tabs>
            <w:jc w:val="right"/>
            <w:rPr>
              <w:rFonts w:ascii="Arial" w:eastAsia="Arial" w:hAnsi="Arial" w:cs="Arial"/>
              <w:b/>
            </w:rPr>
          </w:pPr>
          <w:r w:rsidRPr="0064020C">
            <w:rPr>
              <w:rFonts w:ascii="Arial" w:eastAsia="Arial" w:hAnsi="Arial" w:cs="Arial"/>
              <w:sz w:val="14"/>
              <w:szCs w:val="14"/>
            </w:rPr>
            <w:t xml:space="preserve">Radicado: </w:t>
          </w:r>
          <w:r>
            <w:rPr>
              <w:rFonts w:ascii="Arial" w:eastAsia="Arial" w:hAnsi="Arial" w:cs="Arial"/>
              <w:b/>
            </w:rPr>
            <w:t>RAD_S</w:t>
          </w:r>
        </w:p>
        <w:p w14:paraId="63D7B019" w14:textId="77777777" w:rsidR="0064020C" w:rsidRPr="003A5F89" w:rsidRDefault="0064020C" w:rsidP="0064020C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  <w:r w:rsidRPr="0064020C">
            <w:rPr>
              <w:rFonts w:ascii="Arial" w:eastAsia="Arial" w:hAnsi="Arial" w:cs="Arial"/>
              <w:sz w:val="14"/>
              <w:szCs w:val="14"/>
            </w:rPr>
            <w:t>Fecha:</w:t>
          </w:r>
          <w:r>
            <w:rPr>
              <w:rFonts w:ascii="Arial" w:eastAsia="Arial" w:hAnsi="Arial" w:cs="Arial"/>
            </w:rPr>
            <w:t xml:space="preserve"> </w:t>
          </w:r>
          <w:r w:rsidRPr="0064020C">
            <w:rPr>
              <w:rFonts w:ascii="Arial" w:eastAsia="Arial" w:hAnsi="Arial" w:cs="Arial"/>
              <w:sz w:val="18"/>
              <w:szCs w:val="18"/>
            </w:rPr>
            <w:t>F_RAD_S</w:t>
          </w:r>
        </w:p>
      </w:tc>
    </w:tr>
  </w:tbl>
  <w:p w14:paraId="7C434F62" w14:textId="44546702" w:rsidR="0081166E" w:rsidRDefault="0081166E">
    <w:pPr>
      <w:pStyle w:val="Encabezado"/>
      <w:jc w:val="center"/>
    </w:pPr>
  </w:p>
  <w:p w14:paraId="5ABFE1BE" w14:textId="77777777" w:rsidR="004322E2" w:rsidRDefault="004322E2">
    <w:pPr>
      <w:pStyle w:val="Encabezado"/>
      <w:jc w:val="center"/>
      <w:rPr>
        <w:rFonts w:ascii="Arial" w:eastAsia="Arial" w:hAnsi="Arial" w:cs="Arial"/>
        <w:b/>
        <w:bCs/>
        <w:sz w:val="24"/>
        <w:szCs w:val="24"/>
      </w:rPr>
    </w:pPr>
  </w:p>
  <w:p w14:paraId="0E442C30" w14:textId="06698B23" w:rsidR="0081166E" w:rsidRPr="0064020C" w:rsidRDefault="003E7C8A">
    <w:pPr>
      <w:pStyle w:val="Encabezado"/>
      <w:jc w:val="center"/>
      <w:rPr>
        <w:rFonts w:ascii="Arial" w:eastAsia="Arial" w:hAnsi="Arial" w:cs="Arial"/>
        <w:b/>
        <w:bCs/>
        <w:sz w:val="28"/>
        <w:szCs w:val="28"/>
      </w:rPr>
    </w:pPr>
    <w:r w:rsidRPr="0064020C">
      <w:rPr>
        <w:rFonts w:ascii="Arial" w:eastAsia="Arial" w:hAnsi="Arial" w:cs="Arial"/>
        <w:b/>
        <w:bCs/>
        <w:sz w:val="28"/>
        <w:szCs w:val="28"/>
      </w:rPr>
      <w:t>RESOLUCIÓN No</w:t>
    </w:r>
    <w:r w:rsidRPr="0064020C">
      <w:rPr>
        <w:rFonts w:ascii="Arial" w:eastAsia="Arial" w:hAnsi="Arial" w:cs="Arial"/>
        <w:b/>
        <w:bCs/>
        <w:sz w:val="32"/>
        <w:szCs w:val="32"/>
      </w:rPr>
      <w:t xml:space="preserve">. </w:t>
    </w:r>
    <w:r w:rsidR="0064020C" w:rsidRPr="0064020C">
      <w:rPr>
        <w:rFonts w:ascii="Arial" w:eastAsia="Arial" w:hAnsi="Arial" w:cs="Arial"/>
        <w:b/>
        <w:bCs/>
        <w:sz w:val="32"/>
        <w:szCs w:val="32"/>
      </w:rPr>
      <w:t>###</w:t>
    </w:r>
    <w:r w:rsidRPr="0064020C">
      <w:rPr>
        <w:rFonts w:ascii="Arial" w:eastAsia="Arial" w:hAnsi="Arial" w:cs="Arial"/>
        <w:b/>
        <w:bCs/>
        <w:sz w:val="32"/>
        <w:szCs w:val="32"/>
      </w:rPr>
      <w:t xml:space="preserve"> </w:t>
    </w:r>
    <w:r w:rsidRPr="0064020C">
      <w:rPr>
        <w:rFonts w:ascii="Arial" w:eastAsia="Arial" w:hAnsi="Arial" w:cs="Arial"/>
        <w:b/>
        <w:bCs/>
        <w:sz w:val="28"/>
        <w:szCs w:val="28"/>
      </w:rPr>
      <w:t xml:space="preserve">de </w:t>
    </w:r>
    <w:r w:rsidR="0064020C" w:rsidRPr="0064020C">
      <w:rPr>
        <w:rFonts w:ascii="Arial" w:eastAsia="Arial" w:hAnsi="Arial" w:cs="Arial"/>
        <w:b/>
        <w:bCs/>
        <w:sz w:val="28"/>
        <w:szCs w:val="28"/>
      </w:rPr>
      <w:t>20##</w:t>
    </w:r>
  </w:p>
  <w:p w14:paraId="685FF212" w14:textId="77777777" w:rsidR="0081166E" w:rsidRDefault="0081166E">
    <w:pPr>
      <w:tabs>
        <w:tab w:val="left" w:pos="1485"/>
      </w:tabs>
      <w:jc w:val="right"/>
      <w:rPr>
        <w:rFonts w:ascii="Arial" w:eastAsia="Andale Sans UI" w:hAnsi="Arial" w:cs="Lucidasans;Times New Roman"/>
        <w:sz w:val="18"/>
        <w:szCs w:val="18"/>
      </w:rPr>
    </w:pPr>
  </w:p>
  <w:p w14:paraId="43D68510" w14:textId="77777777" w:rsidR="0081166E" w:rsidRDefault="0081166E">
    <w:pPr>
      <w:tabs>
        <w:tab w:val="left" w:pos="1485"/>
      </w:tabs>
      <w:jc w:val="right"/>
      <w:rPr>
        <w:rFonts w:ascii="Arial" w:eastAsia="Andale Sans UI" w:hAnsi="Arial" w:cs="Lucidasans;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C178" w14:textId="77777777" w:rsidR="00FD7FB8" w:rsidRDefault="00FD7F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6E"/>
    <w:rsid w:val="000123CD"/>
    <w:rsid w:val="00034877"/>
    <w:rsid w:val="0005396D"/>
    <w:rsid w:val="00085D6A"/>
    <w:rsid w:val="0009723C"/>
    <w:rsid w:val="000B3C80"/>
    <w:rsid w:val="000C344F"/>
    <w:rsid w:val="000C3533"/>
    <w:rsid w:val="000C3562"/>
    <w:rsid w:val="000D08F4"/>
    <w:rsid w:val="000D3E95"/>
    <w:rsid w:val="000E2B6B"/>
    <w:rsid w:val="000F0621"/>
    <w:rsid w:val="000F4823"/>
    <w:rsid w:val="00103CEC"/>
    <w:rsid w:val="00134417"/>
    <w:rsid w:val="00141C48"/>
    <w:rsid w:val="00171847"/>
    <w:rsid w:val="00181616"/>
    <w:rsid w:val="0019582E"/>
    <w:rsid w:val="001A64CB"/>
    <w:rsid w:val="001B2ED3"/>
    <w:rsid w:val="001D3404"/>
    <w:rsid w:val="001E1AFE"/>
    <w:rsid w:val="001E34E1"/>
    <w:rsid w:val="001E4C96"/>
    <w:rsid w:val="001F0073"/>
    <w:rsid w:val="00203C2C"/>
    <w:rsid w:val="00213370"/>
    <w:rsid w:val="00222A8E"/>
    <w:rsid w:val="002436AB"/>
    <w:rsid w:val="00250AEC"/>
    <w:rsid w:val="00262DB8"/>
    <w:rsid w:val="00262EEB"/>
    <w:rsid w:val="002723DA"/>
    <w:rsid w:val="002822D5"/>
    <w:rsid w:val="0028278F"/>
    <w:rsid w:val="002D11F8"/>
    <w:rsid w:val="003165F7"/>
    <w:rsid w:val="0033516D"/>
    <w:rsid w:val="00335BAD"/>
    <w:rsid w:val="00335D82"/>
    <w:rsid w:val="003404A8"/>
    <w:rsid w:val="00356684"/>
    <w:rsid w:val="00357DD0"/>
    <w:rsid w:val="00362CE4"/>
    <w:rsid w:val="00386C52"/>
    <w:rsid w:val="00387066"/>
    <w:rsid w:val="003912BD"/>
    <w:rsid w:val="003B038C"/>
    <w:rsid w:val="003B4EB4"/>
    <w:rsid w:val="003B793D"/>
    <w:rsid w:val="003C6A72"/>
    <w:rsid w:val="003E1681"/>
    <w:rsid w:val="003E7C8A"/>
    <w:rsid w:val="0040702E"/>
    <w:rsid w:val="004322E2"/>
    <w:rsid w:val="004444D8"/>
    <w:rsid w:val="004476CD"/>
    <w:rsid w:val="00470A3E"/>
    <w:rsid w:val="004932E7"/>
    <w:rsid w:val="004A4462"/>
    <w:rsid w:val="004C49EF"/>
    <w:rsid w:val="004C68E3"/>
    <w:rsid w:val="004F0BA1"/>
    <w:rsid w:val="004F1D4D"/>
    <w:rsid w:val="004F4BDA"/>
    <w:rsid w:val="00504FC9"/>
    <w:rsid w:val="00516CFC"/>
    <w:rsid w:val="00530CC1"/>
    <w:rsid w:val="005311A0"/>
    <w:rsid w:val="005330BE"/>
    <w:rsid w:val="00537356"/>
    <w:rsid w:val="00541948"/>
    <w:rsid w:val="00545E80"/>
    <w:rsid w:val="0056235D"/>
    <w:rsid w:val="005737EF"/>
    <w:rsid w:val="00585021"/>
    <w:rsid w:val="005C16A5"/>
    <w:rsid w:val="005E56D5"/>
    <w:rsid w:val="005F2689"/>
    <w:rsid w:val="005F43BB"/>
    <w:rsid w:val="00623225"/>
    <w:rsid w:val="00632530"/>
    <w:rsid w:val="0064020C"/>
    <w:rsid w:val="00645616"/>
    <w:rsid w:val="006515C1"/>
    <w:rsid w:val="00651DE6"/>
    <w:rsid w:val="0067087E"/>
    <w:rsid w:val="00676A96"/>
    <w:rsid w:val="00681B53"/>
    <w:rsid w:val="00693AB5"/>
    <w:rsid w:val="006974D6"/>
    <w:rsid w:val="006A2C03"/>
    <w:rsid w:val="006B36DD"/>
    <w:rsid w:val="006C63BC"/>
    <w:rsid w:val="006E246D"/>
    <w:rsid w:val="006E65E9"/>
    <w:rsid w:val="006F6473"/>
    <w:rsid w:val="007042B4"/>
    <w:rsid w:val="007046A6"/>
    <w:rsid w:val="00712339"/>
    <w:rsid w:val="0075718E"/>
    <w:rsid w:val="00762665"/>
    <w:rsid w:val="0078165E"/>
    <w:rsid w:val="007907EB"/>
    <w:rsid w:val="007979D4"/>
    <w:rsid w:val="007A6625"/>
    <w:rsid w:val="007B4A53"/>
    <w:rsid w:val="007F1C3F"/>
    <w:rsid w:val="00803E13"/>
    <w:rsid w:val="0081166E"/>
    <w:rsid w:val="008121E1"/>
    <w:rsid w:val="0082098C"/>
    <w:rsid w:val="00821C25"/>
    <w:rsid w:val="00824792"/>
    <w:rsid w:val="00832BDF"/>
    <w:rsid w:val="00836AF9"/>
    <w:rsid w:val="00842541"/>
    <w:rsid w:val="00842893"/>
    <w:rsid w:val="008462AB"/>
    <w:rsid w:val="0087165F"/>
    <w:rsid w:val="00871C35"/>
    <w:rsid w:val="00876B68"/>
    <w:rsid w:val="0088678D"/>
    <w:rsid w:val="00887B56"/>
    <w:rsid w:val="008A268B"/>
    <w:rsid w:val="008A3F31"/>
    <w:rsid w:val="008C52EC"/>
    <w:rsid w:val="008D5D25"/>
    <w:rsid w:val="008D5F78"/>
    <w:rsid w:val="008E5DD1"/>
    <w:rsid w:val="00906E7C"/>
    <w:rsid w:val="009158A4"/>
    <w:rsid w:val="009463A0"/>
    <w:rsid w:val="009501C0"/>
    <w:rsid w:val="00951A24"/>
    <w:rsid w:val="009709CE"/>
    <w:rsid w:val="00985DE7"/>
    <w:rsid w:val="00986828"/>
    <w:rsid w:val="00992215"/>
    <w:rsid w:val="009924BD"/>
    <w:rsid w:val="009951DE"/>
    <w:rsid w:val="009A7CAC"/>
    <w:rsid w:val="009B07E9"/>
    <w:rsid w:val="009B2D30"/>
    <w:rsid w:val="009C07EA"/>
    <w:rsid w:val="009D14C3"/>
    <w:rsid w:val="009D2C62"/>
    <w:rsid w:val="009E3134"/>
    <w:rsid w:val="00A11A90"/>
    <w:rsid w:val="00A31015"/>
    <w:rsid w:val="00A44A52"/>
    <w:rsid w:val="00A54B9D"/>
    <w:rsid w:val="00A56AD9"/>
    <w:rsid w:val="00A56F19"/>
    <w:rsid w:val="00A8679C"/>
    <w:rsid w:val="00A9523E"/>
    <w:rsid w:val="00AA1DB6"/>
    <w:rsid w:val="00AB50F0"/>
    <w:rsid w:val="00B02B7D"/>
    <w:rsid w:val="00B10733"/>
    <w:rsid w:val="00B23327"/>
    <w:rsid w:val="00B337D2"/>
    <w:rsid w:val="00B35F70"/>
    <w:rsid w:val="00B51739"/>
    <w:rsid w:val="00B558C4"/>
    <w:rsid w:val="00B64737"/>
    <w:rsid w:val="00B72DAD"/>
    <w:rsid w:val="00B84C35"/>
    <w:rsid w:val="00BA02B5"/>
    <w:rsid w:val="00BB5829"/>
    <w:rsid w:val="00BE08FF"/>
    <w:rsid w:val="00BE0BB7"/>
    <w:rsid w:val="00C15CB8"/>
    <w:rsid w:val="00C249DE"/>
    <w:rsid w:val="00C3287E"/>
    <w:rsid w:val="00C42381"/>
    <w:rsid w:val="00C541EF"/>
    <w:rsid w:val="00C67607"/>
    <w:rsid w:val="00C84C52"/>
    <w:rsid w:val="00C97DA5"/>
    <w:rsid w:val="00C97E4E"/>
    <w:rsid w:val="00CB1D75"/>
    <w:rsid w:val="00CB3309"/>
    <w:rsid w:val="00CB3D5B"/>
    <w:rsid w:val="00CB3FB9"/>
    <w:rsid w:val="00CC4DC0"/>
    <w:rsid w:val="00CD1DDA"/>
    <w:rsid w:val="00CD2757"/>
    <w:rsid w:val="00CD720D"/>
    <w:rsid w:val="00CF3ABE"/>
    <w:rsid w:val="00D003A2"/>
    <w:rsid w:val="00D177EA"/>
    <w:rsid w:val="00D25913"/>
    <w:rsid w:val="00D37C44"/>
    <w:rsid w:val="00D45BD6"/>
    <w:rsid w:val="00D67418"/>
    <w:rsid w:val="00D72D02"/>
    <w:rsid w:val="00D8438A"/>
    <w:rsid w:val="00D96726"/>
    <w:rsid w:val="00DA3E82"/>
    <w:rsid w:val="00DA5F1A"/>
    <w:rsid w:val="00DE2AC8"/>
    <w:rsid w:val="00DE3509"/>
    <w:rsid w:val="00DF772A"/>
    <w:rsid w:val="00E00494"/>
    <w:rsid w:val="00E21A42"/>
    <w:rsid w:val="00E25547"/>
    <w:rsid w:val="00E35BAC"/>
    <w:rsid w:val="00E3693B"/>
    <w:rsid w:val="00E41358"/>
    <w:rsid w:val="00E42DCC"/>
    <w:rsid w:val="00E548F6"/>
    <w:rsid w:val="00E6623B"/>
    <w:rsid w:val="00E905B2"/>
    <w:rsid w:val="00EA303B"/>
    <w:rsid w:val="00EA312C"/>
    <w:rsid w:val="00EA46D0"/>
    <w:rsid w:val="00EA534D"/>
    <w:rsid w:val="00EB6E43"/>
    <w:rsid w:val="00EE7E79"/>
    <w:rsid w:val="00EF250D"/>
    <w:rsid w:val="00EF69E7"/>
    <w:rsid w:val="00EF773C"/>
    <w:rsid w:val="00EF7F56"/>
    <w:rsid w:val="00F0306B"/>
    <w:rsid w:val="00F10B02"/>
    <w:rsid w:val="00F30946"/>
    <w:rsid w:val="00F41CAA"/>
    <w:rsid w:val="00F42BDD"/>
    <w:rsid w:val="00F46B0D"/>
    <w:rsid w:val="00F47756"/>
    <w:rsid w:val="00F6297E"/>
    <w:rsid w:val="00F76FA3"/>
    <w:rsid w:val="00F9331A"/>
    <w:rsid w:val="00FA093C"/>
    <w:rsid w:val="00FB1C22"/>
    <w:rsid w:val="00FC5F8F"/>
    <w:rsid w:val="00FD0C6F"/>
    <w:rsid w:val="00FD4CE0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9A680"/>
  <w15:docId w15:val="{E259028F-3352-DB40-B499-A98377F6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paragraph" w:styleId="Ttulo1">
    <w:name w:val="heading 1"/>
    <w:basedOn w:val="Normal"/>
    <w:next w:val="Normal"/>
    <w:uiPriority w:val="9"/>
    <w:qFormat/>
    <w:pPr>
      <w:keepNext/>
      <w:spacing w:line="480" w:lineRule="auto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Tahoma" w:eastAsia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RTFNum31">
    <w:name w:val="RTF_Num 3 1"/>
    <w:qFormat/>
    <w:rPr>
      <w:rFonts w:ascii="Wingdings" w:eastAsia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stilo61">
    <w:name w:val="estilo61"/>
    <w:qFormat/>
    <w:rPr>
      <w:b/>
      <w:bCs/>
      <w:color w:val="FF0000"/>
    </w:rPr>
  </w:style>
  <w:style w:type="character" w:customStyle="1" w:styleId="NumberingSymbols">
    <w:name w:val="Numbering Symbols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  <w:lang w:val="es-ES" w:bidi="es-ES"/>
    </w:rPr>
  </w:style>
  <w:style w:type="character" w:customStyle="1" w:styleId="PiedepginaCar">
    <w:name w:val="Pie de página Car"/>
    <w:qFormat/>
    <w:rPr>
      <w:lang w:val="es-ES" w:bidi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suppressLineNumbers/>
      <w:tabs>
        <w:tab w:val="center" w:pos="4987"/>
        <w:tab w:val="right" w:pos="9974"/>
      </w:tabs>
    </w:pPr>
  </w:style>
  <w:style w:type="paragraph" w:styleId="Mapadeldocumento">
    <w:name w:val="Document Map"/>
    <w:basedOn w:val="Normal"/>
    <w:qFormat/>
    <w:rPr>
      <w:rFonts w:ascii="Tahoma" w:eastAsia="Tahoma" w:hAnsi="Tahoma" w:cs="Tahoma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estilo4">
    <w:name w:val="estilo4"/>
    <w:basedOn w:val="Normal"/>
    <w:qFormat/>
    <w:pPr>
      <w:spacing w:before="100" w:after="100"/>
    </w:pPr>
    <w:rPr>
      <w:color w:val="000000"/>
      <w:sz w:val="24"/>
      <w:szCs w:val="24"/>
    </w:rPr>
  </w:style>
  <w:style w:type="paragraph" w:customStyle="1" w:styleId="estilo5">
    <w:name w:val="estilo5"/>
    <w:basedOn w:val="Normal"/>
    <w:qFormat/>
    <w:pPr>
      <w:spacing w:before="100" w:after="100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qFormat/>
    <w:rPr>
      <w:rFonts w:ascii="Arial" w:hAnsi="Arial" w:cs="Arial"/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  <w:overflowPunct w:val="0"/>
    </w:pPr>
    <w:rPr>
      <w:color w:val="00000A"/>
      <w:lang w:val="es-ES" w:eastAsia="es-ES" w:bidi="es-ES"/>
    </w:rPr>
  </w:style>
  <w:style w:type="numbering" w:customStyle="1" w:styleId="WW8Num1">
    <w:name w:val="WW8Num1"/>
    <w:qFormat/>
  </w:style>
  <w:style w:type="table" w:styleId="Tablaconcuadrcula">
    <w:name w:val="Table Grid"/>
    <w:basedOn w:val="Tablanormal"/>
    <w:uiPriority w:val="39"/>
    <w:rsid w:val="0064020C"/>
    <w:rPr>
      <w:rFonts w:ascii="Calibri" w:eastAsia="Calibri" w:hAnsi="Calibri" w:cs="Calibri"/>
      <w:lang w:eastAsia="es-ES_trad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4020C"/>
    <w:rPr>
      <w:color w:val="0563C1" w:themeColor="hyperlink"/>
      <w:u w:val="single"/>
    </w:rPr>
  </w:style>
  <w:style w:type="character" w:customStyle="1" w:styleId="apple-tab-span">
    <w:name w:val="apple-tab-span"/>
    <w:basedOn w:val="Fuentedeprrafopredeter"/>
    <w:rsid w:val="0033516D"/>
  </w:style>
  <w:style w:type="character" w:styleId="Refdecomentario">
    <w:name w:val="annotation reference"/>
    <w:basedOn w:val="Fuentedeprrafopredeter"/>
    <w:uiPriority w:val="99"/>
    <w:semiHidden/>
    <w:unhideWhenUsed/>
    <w:rsid w:val="00E36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693B"/>
  </w:style>
  <w:style w:type="character" w:customStyle="1" w:styleId="TextocomentarioCar">
    <w:name w:val="Texto comentario Car"/>
    <w:basedOn w:val="Fuentedeprrafopredeter"/>
    <w:link w:val="Textocomentario"/>
    <w:uiPriority w:val="99"/>
    <w:rsid w:val="00E3693B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9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93B"/>
    <w:rPr>
      <w:rFonts w:ascii="Times New Roman" w:eastAsia="Times New Roman" w:hAnsi="Times New Roman" w:cs="Times New Roman"/>
      <w:b/>
      <w:bCs/>
      <w:color w:val="00000A"/>
      <w:sz w:val="20"/>
      <w:szCs w:val="20"/>
      <w:lang w:val="es-ES" w:bidi="es-ES"/>
    </w:rPr>
  </w:style>
  <w:style w:type="paragraph" w:styleId="Revisin">
    <w:name w:val="Revision"/>
    <w:hidden/>
    <w:uiPriority w:val="99"/>
    <w:semiHidden/>
    <w:rsid w:val="00B10733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caldiabogota.gov.co/sisjur/normas/Norma1.jsp?i=29324" TargetMode="External"/><Relationship Id="rId13" Type="http://schemas.openxmlformats.org/officeDocument/2006/relationships/hyperlink" Target="https://www.alcaldiabogota.gov.co/sisjur/normas/Norma1.jsp?i=2230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lcaldiabogota.gov.co/sisjur/normas/Norma1.jsp?i=337" TargetMode="External"/><Relationship Id="rId12" Type="http://schemas.openxmlformats.org/officeDocument/2006/relationships/hyperlink" Target="https://www.alcaldiabogota.gov.co/sisjur/normas/Norma1.jsp?i=667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lcaldiabogota.gov.co/sisjur/normas/Norma1.jsp?i=4124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lcaldiabogota.gov.co/sisjur/normas/Norma1.jsp?i=41249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alcaldiabogota.gov.co/sisjur/normas/Norma1.jsp?i=41249" TargetMode="External"/><Relationship Id="rId14" Type="http://schemas.openxmlformats.org/officeDocument/2006/relationships/hyperlink" Target="https://www.alcaldiabogota.gov.co/sisjur/normas/Norma1.jsp?i=65633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ulturarecreacionydeporte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B7492A-DF2D-244F-8374-CAF9743D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1836</Words>
  <Characters>10103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DES-MN-01-FR-05</vt:lpstr>
      <vt:lpstr>FR-09-PR-MEJ-01</vt:lpstr>
    </vt:vector>
  </TitlesOfParts>
  <Manager>SGDEA</Manager>
  <Company>Secretaría de Cultura, Recreación y Deporte</Company>
  <LinksUpToDate>false</LinksUpToDate>
  <CharactersWithSpaces>11916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DES-MN-01-FR-05</dc:title>
  <dc:subject>RESOLUCIÓN</dc:subject>
  <dc:creator>Dirección de Gestión Corporativa</dc:creator>
  <cp:keywords/>
  <dc:description/>
  <cp:lastModifiedBy>Margarita Maria Rua Atehortua</cp:lastModifiedBy>
  <cp:revision>2</cp:revision>
  <dcterms:created xsi:type="dcterms:W3CDTF">2023-04-27T21:25:00Z</dcterms:created>
  <dcterms:modified xsi:type="dcterms:W3CDTF">2023-04-27T21:25:00Z</dcterms:modified>
  <cp:category/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?n 1">
    <vt:lpwstr/>
  </property>
  <property fmtid="{D5CDD505-2E9C-101B-9397-08002B2CF9AE}" pid="3" name="Informaci?n 2">
    <vt:lpwstr/>
  </property>
  <property fmtid="{D5CDD505-2E9C-101B-9397-08002B2CF9AE}" pid="4" name="Informaci?n 3">
    <vt:lpwstr/>
  </property>
  <property fmtid="{D5CDD505-2E9C-101B-9397-08002B2CF9AE}" pid="5" name="Informaci?n 4">
    <vt:lpwstr/>
  </property>
</Properties>
</file>